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0"/>
        </w:rPr>
        <w:id w:val="1962230394"/>
        <w:docPartObj>
          <w:docPartGallery w:val="Table of Contents"/>
          <w:docPartUnique/>
        </w:docPartObj>
      </w:sdtPr>
      <w:sdtContent>
        <w:p w14:paraId="164E9264" w14:textId="77777777" w:rsidR="004027D0" w:rsidRDefault="00000000">
          <w:pPr>
            <w:pStyle w:val="Kopvaninhoudsopgave"/>
          </w:pPr>
          <w:r>
            <w:t>Inhoudsopgave</w:t>
          </w:r>
        </w:p>
        <w:p w14:paraId="5F52B83B" w14:textId="77777777" w:rsidR="004027D0" w:rsidRDefault="00000000">
          <w:pPr>
            <w:pStyle w:val="Inhopg1"/>
            <w:tabs>
              <w:tab w:val="right" w:leader="dot" w:pos="9355"/>
            </w:tabs>
          </w:pPr>
          <w:r>
            <w:fldChar w:fldCharType="begin"/>
          </w:r>
          <w:r>
            <w:rPr>
              <w:rStyle w:val="Indexkoppeling"/>
            </w:rPr>
            <w:instrText xml:space="preserve"> TOC \f \o "1-9" \h</w:instrText>
          </w:r>
          <w:r>
            <w:rPr>
              <w:rStyle w:val="Indexkoppeling"/>
            </w:rPr>
            <w:fldChar w:fldCharType="separate"/>
          </w:r>
          <w:hyperlink w:anchor="__RefHeading___Toc562_2571674870">
            <w:r>
              <w:rPr>
                <w:rStyle w:val="Indexkoppeling"/>
              </w:rPr>
              <w:t xml:space="preserve"> 1  Inleiding</w:t>
            </w:r>
            <w:r>
              <w:rPr>
                <w:rStyle w:val="Indexkoppeling"/>
              </w:rPr>
              <w:tab/>
              <w:t>1</w:t>
            </w:r>
          </w:hyperlink>
        </w:p>
        <w:p w14:paraId="0372883A" w14:textId="77777777" w:rsidR="004027D0" w:rsidRDefault="00000000">
          <w:pPr>
            <w:pStyle w:val="Inhopg1"/>
            <w:tabs>
              <w:tab w:val="right" w:leader="dot" w:pos="9355"/>
            </w:tabs>
          </w:pPr>
          <w:hyperlink w:anchor="__RefHeading___Toc564_2571674870">
            <w:r>
              <w:rPr>
                <w:rStyle w:val="Indexkoppeling"/>
              </w:rPr>
              <w:t xml:space="preserve"> 2  Ontwerp nascholingsberekeningen</w:t>
            </w:r>
            <w:r>
              <w:rPr>
                <w:rStyle w:val="Indexkoppeling"/>
              </w:rPr>
              <w:tab/>
              <w:t>1</w:t>
            </w:r>
          </w:hyperlink>
        </w:p>
        <w:p w14:paraId="5BE0D5E9" w14:textId="77777777" w:rsidR="004027D0" w:rsidRDefault="00000000">
          <w:pPr>
            <w:pStyle w:val="Inhopg2"/>
            <w:tabs>
              <w:tab w:val="right" w:leader="dot" w:pos="9355"/>
            </w:tabs>
          </w:pPr>
          <w:hyperlink w:anchor="__RefHeading___Toc566_2571674870">
            <w:r>
              <w:rPr>
                <w:rStyle w:val="Indexkoppeling"/>
              </w:rPr>
              <w:t xml:space="preserve"> 2.1  De norm in de normdocumenten</w:t>
            </w:r>
            <w:r>
              <w:rPr>
                <w:rStyle w:val="Indexkoppeling"/>
              </w:rPr>
              <w:tab/>
              <w:t>1</w:t>
            </w:r>
          </w:hyperlink>
        </w:p>
        <w:p w14:paraId="5B7B385D" w14:textId="77777777" w:rsidR="004027D0" w:rsidRDefault="00000000">
          <w:pPr>
            <w:pStyle w:val="Inhopg2"/>
            <w:tabs>
              <w:tab w:val="right" w:leader="dot" w:pos="9355"/>
            </w:tabs>
          </w:pPr>
          <w:hyperlink w:anchor="__RefHeading___Toc568_2571674870">
            <w:r>
              <w:rPr>
                <w:rStyle w:val="Indexkoppeling"/>
              </w:rPr>
              <w:t xml:space="preserve"> 2.2  De norm</w:t>
            </w:r>
            <w:r>
              <w:rPr>
                <w:rStyle w:val="Indexkoppeling"/>
              </w:rPr>
              <w:tab/>
              <w:t>2</w:t>
            </w:r>
          </w:hyperlink>
        </w:p>
        <w:p w14:paraId="212E3721" w14:textId="77777777" w:rsidR="004027D0" w:rsidRDefault="00000000">
          <w:pPr>
            <w:pStyle w:val="Inhopg2"/>
            <w:tabs>
              <w:tab w:val="right" w:leader="dot" w:pos="9355"/>
            </w:tabs>
          </w:pPr>
          <w:hyperlink w:anchor="__RefHeading___Toc570_2571674870">
            <w:r>
              <w:rPr>
                <w:rStyle w:val="Indexkoppeling"/>
              </w:rPr>
              <w:t xml:space="preserve"> 2.3  Berekening in algemene zin</w:t>
            </w:r>
            <w:r>
              <w:rPr>
                <w:rStyle w:val="Indexkoppeling"/>
              </w:rPr>
              <w:tab/>
              <w:t>2</w:t>
            </w:r>
          </w:hyperlink>
        </w:p>
        <w:p w14:paraId="0505C3AF" w14:textId="77777777" w:rsidR="004027D0" w:rsidRDefault="00000000">
          <w:pPr>
            <w:pStyle w:val="Inhopg2"/>
            <w:tabs>
              <w:tab w:val="right" w:leader="dot" w:pos="9355"/>
            </w:tabs>
          </w:pPr>
          <w:hyperlink w:anchor="__RefHeading___Toc572_2571674870">
            <w:r>
              <w:rPr>
                <w:rStyle w:val="Indexkoppeling"/>
              </w:rPr>
              <w:t xml:space="preserve"> 2.4  Gegevensmodel</w:t>
            </w:r>
            <w:r>
              <w:rPr>
                <w:rStyle w:val="Indexkoppeling"/>
              </w:rPr>
              <w:tab/>
              <w:t>3</w:t>
            </w:r>
          </w:hyperlink>
        </w:p>
        <w:p w14:paraId="4930CA1E" w14:textId="77777777" w:rsidR="004027D0" w:rsidRDefault="00000000">
          <w:pPr>
            <w:pStyle w:val="Inhopg2"/>
            <w:tabs>
              <w:tab w:val="right" w:leader="dot" w:pos="9355"/>
            </w:tabs>
          </w:pPr>
          <w:hyperlink w:anchor="__RefHeading___Toc574_2571674870">
            <w:r>
              <w:rPr>
                <w:rStyle w:val="Indexkoppeling"/>
              </w:rPr>
              <w:t xml:space="preserve"> 2.5  Rekening mee te houden</w:t>
            </w:r>
            <w:r>
              <w:rPr>
                <w:rStyle w:val="Indexkoppeling"/>
              </w:rPr>
              <w:tab/>
              <w:t>3</w:t>
            </w:r>
          </w:hyperlink>
        </w:p>
        <w:p w14:paraId="6FC6CDEB" w14:textId="77777777" w:rsidR="004027D0" w:rsidRDefault="00000000">
          <w:pPr>
            <w:pStyle w:val="Inhopg2"/>
            <w:tabs>
              <w:tab w:val="right" w:leader="dot" w:pos="9355"/>
            </w:tabs>
          </w:pPr>
          <w:hyperlink w:anchor="__RefHeading___Toc576_2571674870">
            <w:r>
              <w:rPr>
                <w:rStyle w:val="Indexkoppeling"/>
              </w:rPr>
              <w:t xml:space="preserve"> 2.6  Salderen per jaar</w:t>
            </w:r>
            <w:r>
              <w:rPr>
                <w:rStyle w:val="Indexkoppeling"/>
              </w:rPr>
              <w:tab/>
              <w:t>3</w:t>
            </w:r>
          </w:hyperlink>
        </w:p>
        <w:p w14:paraId="38D6953A" w14:textId="77777777" w:rsidR="004027D0" w:rsidRDefault="00000000">
          <w:pPr>
            <w:pStyle w:val="Inhopg2"/>
            <w:tabs>
              <w:tab w:val="right" w:leader="dot" w:pos="9355"/>
            </w:tabs>
          </w:pPr>
          <w:hyperlink w:anchor="__RefHeading___Toc578_2571674870">
            <w:r>
              <w:rPr>
                <w:rStyle w:val="Indexkoppeling"/>
              </w:rPr>
              <w:t xml:space="preserve"> 2.7  Verdelen over de jaren - methode volgens de norm</w:t>
            </w:r>
            <w:r>
              <w:rPr>
                <w:rStyle w:val="Indexkoppeling"/>
              </w:rPr>
              <w:tab/>
              <w:t>5</w:t>
            </w:r>
          </w:hyperlink>
        </w:p>
        <w:p w14:paraId="1B27986E" w14:textId="77777777" w:rsidR="004027D0" w:rsidRDefault="00000000">
          <w:pPr>
            <w:pStyle w:val="Inhopg3"/>
            <w:tabs>
              <w:tab w:val="right" w:leader="dot" w:pos="9355"/>
            </w:tabs>
          </w:pPr>
          <w:hyperlink w:anchor="__RefHeading___Toc580_2571674870">
            <w:r>
              <w:rPr>
                <w:rStyle w:val="Indexkoppeling"/>
              </w:rPr>
              <w:t xml:space="preserve"> 2.7.1  Voorwaarts verdelen</w:t>
            </w:r>
            <w:r>
              <w:rPr>
                <w:rStyle w:val="Indexkoppeling"/>
              </w:rPr>
              <w:tab/>
              <w:t>5</w:t>
            </w:r>
          </w:hyperlink>
        </w:p>
        <w:p w14:paraId="590F7CF1" w14:textId="77777777" w:rsidR="004027D0" w:rsidRDefault="00000000">
          <w:pPr>
            <w:pStyle w:val="Inhopg3"/>
            <w:tabs>
              <w:tab w:val="right" w:leader="dot" w:pos="9355"/>
            </w:tabs>
          </w:pPr>
          <w:hyperlink w:anchor="__RefHeading___Toc582_2571674870">
            <w:r>
              <w:rPr>
                <w:rStyle w:val="Indexkoppeling"/>
              </w:rPr>
              <w:t xml:space="preserve"> 2.7.2  Terugwaarts verdelen</w:t>
            </w:r>
            <w:r>
              <w:rPr>
                <w:rStyle w:val="Indexkoppeling"/>
              </w:rPr>
              <w:tab/>
              <w:t>6</w:t>
            </w:r>
          </w:hyperlink>
        </w:p>
        <w:p w14:paraId="4239003E" w14:textId="77777777" w:rsidR="004027D0" w:rsidRDefault="00000000">
          <w:pPr>
            <w:pStyle w:val="Inhopg2"/>
            <w:tabs>
              <w:tab w:val="right" w:leader="dot" w:pos="9355"/>
            </w:tabs>
          </w:pPr>
          <w:hyperlink w:anchor="__RefHeading___Toc584_2571674870">
            <w:r>
              <w:rPr>
                <w:rStyle w:val="Indexkoppeling"/>
              </w:rPr>
              <w:t xml:space="preserve"> 2.8  Verdelen over de jaren – alternatieve methode</w:t>
            </w:r>
            <w:r>
              <w:rPr>
                <w:rStyle w:val="Indexkoppeling"/>
              </w:rPr>
              <w:tab/>
              <w:t>7</w:t>
            </w:r>
          </w:hyperlink>
        </w:p>
        <w:p w14:paraId="1FCB2A6F" w14:textId="77777777" w:rsidR="004027D0" w:rsidRDefault="00000000">
          <w:pPr>
            <w:pStyle w:val="Inhopg3"/>
            <w:tabs>
              <w:tab w:val="right" w:leader="dot" w:pos="9355"/>
            </w:tabs>
          </w:pPr>
          <w:hyperlink w:anchor="__RefHeading___Toc586_2571674870">
            <w:r>
              <w:rPr>
                <w:rStyle w:val="Indexkoppeling"/>
              </w:rPr>
              <w:t xml:space="preserve"> 2.8.1  Problemen in de praktijk met verdelen volgens de norm</w:t>
            </w:r>
            <w:r>
              <w:rPr>
                <w:rStyle w:val="Indexkoppeling"/>
              </w:rPr>
              <w:tab/>
              <w:t>7</w:t>
            </w:r>
          </w:hyperlink>
        </w:p>
        <w:p w14:paraId="5027AAFB" w14:textId="77777777" w:rsidR="004027D0" w:rsidRDefault="00000000">
          <w:pPr>
            <w:pStyle w:val="Inhopg3"/>
            <w:tabs>
              <w:tab w:val="right" w:leader="dot" w:pos="9355"/>
            </w:tabs>
          </w:pPr>
          <w:hyperlink w:anchor="__RefHeading___Toc588_2571674870">
            <w:r>
              <w:rPr>
                <w:rStyle w:val="Indexkoppeling"/>
              </w:rPr>
              <w:t xml:space="preserve"> 2.8.2  Alternatieve methode</w:t>
            </w:r>
            <w:r>
              <w:rPr>
                <w:rStyle w:val="Indexkoppeling"/>
              </w:rPr>
              <w:tab/>
              <w:t>7</w:t>
            </w:r>
          </w:hyperlink>
        </w:p>
        <w:p w14:paraId="1CD7440A" w14:textId="77777777" w:rsidR="004027D0" w:rsidRDefault="00000000">
          <w:pPr>
            <w:pStyle w:val="Inhopg3"/>
            <w:tabs>
              <w:tab w:val="right" w:leader="dot" w:pos="9355"/>
            </w:tabs>
          </w:pPr>
          <w:hyperlink w:anchor="__RefHeading___Toc590_2571674870">
            <w:r>
              <w:rPr>
                <w:rStyle w:val="Indexkoppeling"/>
              </w:rPr>
              <w:t xml:space="preserve"> 2.8.3  NVKH vraagt andere wijze</w:t>
            </w:r>
            <w:r>
              <w:rPr>
                <w:rStyle w:val="Indexkoppeling"/>
              </w:rPr>
              <w:tab/>
              <w:t>8</w:t>
            </w:r>
          </w:hyperlink>
        </w:p>
        <w:p w14:paraId="0959F9D8" w14:textId="77777777" w:rsidR="004027D0" w:rsidRDefault="00000000">
          <w:pPr>
            <w:pStyle w:val="Inhopg1"/>
            <w:tabs>
              <w:tab w:val="right" w:leader="dot" w:pos="9355"/>
            </w:tabs>
          </w:pPr>
          <w:hyperlink w:anchor="__RefHeading___Toc719_1486544339">
            <w:r>
              <w:rPr>
                <w:rStyle w:val="Indexkoppeling"/>
              </w:rPr>
              <w:t xml:space="preserve"> 3  Geïmplementeerde methode</w:t>
            </w:r>
            <w:r>
              <w:rPr>
                <w:rStyle w:val="Indexkoppeling"/>
              </w:rPr>
              <w:tab/>
              <w:t>8</w:t>
            </w:r>
          </w:hyperlink>
        </w:p>
        <w:p w14:paraId="5BD28E83" w14:textId="77777777" w:rsidR="004027D0" w:rsidRDefault="00000000">
          <w:pPr>
            <w:pStyle w:val="Inhopg2"/>
            <w:tabs>
              <w:tab w:val="right" w:leader="dot" w:pos="9355"/>
            </w:tabs>
          </w:pPr>
          <w:hyperlink w:anchor="__RefHeading___Toc721_1486544339">
            <w:r>
              <w:rPr>
                <w:rStyle w:val="Indexkoppeling"/>
              </w:rPr>
              <w:t xml:space="preserve"> 3.1  Salderen per jaar</w:t>
            </w:r>
            <w:r>
              <w:rPr>
                <w:rStyle w:val="Indexkoppeling"/>
              </w:rPr>
              <w:tab/>
              <w:t>8</w:t>
            </w:r>
          </w:hyperlink>
        </w:p>
        <w:p w14:paraId="37B21686" w14:textId="77777777" w:rsidR="004027D0" w:rsidRDefault="00000000">
          <w:pPr>
            <w:pStyle w:val="Inhopg2"/>
            <w:tabs>
              <w:tab w:val="right" w:leader="dot" w:pos="9355"/>
            </w:tabs>
          </w:pPr>
          <w:hyperlink w:anchor="__RefHeading___Toc723_1486544339">
            <w:r>
              <w:rPr>
                <w:rStyle w:val="Indexkoppeling"/>
              </w:rPr>
              <w:t xml:space="preserve"> 3.2  Verdelen over de jaren</w:t>
            </w:r>
            <w:r>
              <w:rPr>
                <w:rStyle w:val="Indexkoppeling"/>
              </w:rPr>
              <w:tab/>
              <w:t>9</w:t>
            </w:r>
          </w:hyperlink>
          <w:r>
            <w:rPr>
              <w:rStyle w:val="Indexkoppeling"/>
            </w:rPr>
            <w:fldChar w:fldCharType="end"/>
          </w:r>
        </w:p>
      </w:sdtContent>
    </w:sdt>
    <w:p w14:paraId="700F5C07" w14:textId="58422815" w:rsidR="00025FB3" w:rsidRDefault="00025FB3">
      <w:pPr>
        <w:pStyle w:val="Kop1"/>
        <w:spacing w:before="227"/>
      </w:pPr>
      <w:bookmarkStart w:id="0" w:name="__RefHeading___Toc562_2571674870"/>
      <w:bookmarkEnd w:id="0"/>
      <w:r>
        <w:t>Versiebeheer</w:t>
      </w:r>
    </w:p>
    <w:tbl>
      <w:tblPr>
        <w:tblStyle w:val="Tabelraster"/>
        <w:tblW w:w="0" w:type="auto"/>
        <w:tblInd w:w="38" w:type="dxa"/>
        <w:tblLook w:val="04A0" w:firstRow="1" w:lastRow="0" w:firstColumn="1" w:lastColumn="0" w:noHBand="0" w:noVBand="1"/>
      </w:tblPr>
      <w:tblGrid>
        <w:gridCol w:w="1913"/>
        <w:gridCol w:w="7582"/>
      </w:tblGrid>
      <w:tr w:rsidR="00584F72" w14:paraId="17D5E9C8" w14:textId="77777777" w:rsidTr="00D07552">
        <w:tc>
          <w:tcPr>
            <w:tcW w:w="1913" w:type="dxa"/>
          </w:tcPr>
          <w:p w14:paraId="3C2FFF0E" w14:textId="1980E5B0" w:rsidR="00584F72" w:rsidRDefault="00584F72" w:rsidP="00584F72">
            <w:pPr>
              <w:pStyle w:val="Tabelkop"/>
            </w:pPr>
            <w:r>
              <w:t>Datum</w:t>
            </w:r>
          </w:p>
        </w:tc>
        <w:tc>
          <w:tcPr>
            <w:tcW w:w="7582" w:type="dxa"/>
          </w:tcPr>
          <w:p w14:paraId="18588AEA" w14:textId="1465360B" w:rsidR="00584F72" w:rsidRDefault="00584F72" w:rsidP="00584F72">
            <w:pPr>
              <w:pStyle w:val="Tabelkop"/>
            </w:pPr>
            <w:r>
              <w:t>Aanpassing</w:t>
            </w:r>
          </w:p>
        </w:tc>
      </w:tr>
      <w:tr w:rsidR="00D07552" w14:paraId="7310527F" w14:textId="77777777" w:rsidTr="00D07552">
        <w:tc>
          <w:tcPr>
            <w:tcW w:w="1913" w:type="dxa"/>
          </w:tcPr>
          <w:p w14:paraId="5D301887" w14:textId="477561EC" w:rsidR="00D07552" w:rsidRDefault="00D07552" w:rsidP="00584F72">
            <w:pPr>
              <w:pStyle w:val="Geenafstand"/>
            </w:pPr>
            <w:r>
              <w:t>29-10-2023</w:t>
            </w:r>
          </w:p>
        </w:tc>
        <w:tc>
          <w:tcPr>
            <w:tcW w:w="7582" w:type="dxa"/>
          </w:tcPr>
          <w:p w14:paraId="1929C8FD" w14:textId="6EE92A5D" w:rsidR="00D07552" w:rsidRDefault="00D07552" w:rsidP="00584F72">
            <w:pPr>
              <w:pStyle w:val="Geenafstand"/>
            </w:pPr>
            <w:r>
              <w:t>Zoals gebouwd.</w:t>
            </w:r>
          </w:p>
        </w:tc>
      </w:tr>
      <w:tr w:rsidR="00D07552" w14:paraId="5C1186AC" w14:textId="77777777" w:rsidTr="00D07552">
        <w:tc>
          <w:tcPr>
            <w:tcW w:w="1913" w:type="dxa"/>
          </w:tcPr>
          <w:p w14:paraId="1EA24D20" w14:textId="776A234F" w:rsidR="00D07552" w:rsidRDefault="00D07552" w:rsidP="00584F72">
            <w:pPr>
              <w:pStyle w:val="Geenafstand"/>
            </w:pPr>
            <w:r>
              <w:t>28-</w:t>
            </w:r>
            <w:r w:rsidR="00C044BB">
              <w:t>0</w:t>
            </w:r>
            <w:r>
              <w:t>8-2026</w:t>
            </w:r>
          </w:p>
        </w:tc>
        <w:tc>
          <w:tcPr>
            <w:tcW w:w="7582" w:type="dxa"/>
          </w:tcPr>
          <w:p w14:paraId="537574E0" w14:textId="50B6771A" w:rsidR="00D07552" w:rsidRDefault="00D07552" w:rsidP="00584F72">
            <w:pPr>
              <w:pStyle w:val="Geenafstand"/>
            </w:pPr>
            <w:r>
              <w:t xml:space="preserve">Aanpassing bij verloskundigen geïmplementeerd. Voor regiocode 8 worden de werkgroepverslagen niet meer meegeteld. </w:t>
            </w:r>
          </w:p>
        </w:tc>
      </w:tr>
    </w:tbl>
    <w:p w14:paraId="4F2D0B21" w14:textId="77777777" w:rsidR="00025FB3" w:rsidRPr="00025FB3" w:rsidRDefault="00025FB3" w:rsidP="00025FB3"/>
    <w:p w14:paraId="4616F1D7" w14:textId="6AEBB86F" w:rsidR="004027D0" w:rsidRDefault="00000000">
      <w:pPr>
        <w:pStyle w:val="Kop1"/>
        <w:spacing w:before="227"/>
      </w:pPr>
      <w:r>
        <w:t>Inleiding</w:t>
      </w:r>
    </w:p>
    <w:p w14:paraId="794892CE" w14:textId="77777777" w:rsidR="004027D0" w:rsidRDefault="00000000">
      <w:r>
        <w:t>In dit document betreft beschrijving van het ontwerp en de implementatie van de nascholings</w:t>
      </w:r>
      <w:r>
        <w:softHyphen/>
        <w:t xml:space="preserve">berekeningen van de NVKH. </w:t>
      </w:r>
    </w:p>
    <w:p w14:paraId="7034D089" w14:textId="77777777" w:rsidR="004027D0" w:rsidRDefault="00000000">
      <w:pPr>
        <w:pStyle w:val="Kop1"/>
        <w:spacing w:before="227"/>
      </w:pPr>
      <w:bookmarkStart w:id="1" w:name="__RefHeading___Toc564_2571674870"/>
      <w:bookmarkEnd w:id="1"/>
      <w:r>
        <w:t>Ontwerp nascholingsberekeningen</w:t>
      </w:r>
    </w:p>
    <w:p w14:paraId="35310098" w14:textId="77777777" w:rsidR="004027D0" w:rsidRDefault="00000000">
      <w:r>
        <w:t xml:space="preserve">Vanuit de normstelling van de NVKH moet een homeopaat een aantal dagen per jaar nascholen. Er zijn daarbij drie soorten nascholing: klassieke homeopathie, medisch en overig. Het totaal dagen nascholing is de som van klassieke homeopathie, medisch en overig. Per soort -klassiek homeopathie en medisch- en vanuit het totaal kan er voor een gegeven jaar maximaal ‘norm’ dagen gecompenseerd worden uit opvolgend en voorgaand jaar. In de normdocumenten is dat zo aangegeven. </w:t>
      </w:r>
    </w:p>
    <w:p w14:paraId="33F0A58E" w14:textId="77777777" w:rsidR="004027D0" w:rsidRDefault="00000000">
      <w:r>
        <w:t xml:space="preserve">Er is een verschil tussen de wijze van berekenen tot en met 2019 en daarna. Vóór 2019 werd er niet volgens de norm gerekend. Vanaf 2020 wordt dat wel gedaan. </w:t>
      </w:r>
    </w:p>
    <w:p w14:paraId="320C065D" w14:textId="77777777" w:rsidR="004027D0" w:rsidRDefault="00000000">
      <w:r>
        <w:t xml:space="preserve">De normering leidt tot een ingewikkelde, voor mensen moeilijk te volgen berekening. Het is daarom zaak om de berekening voor de homeopaat uit te leggen. Als de berekening wordt geprogrammeerd moet daarom inzicht worden gegeven in de berekening zelf. </w:t>
      </w:r>
    </w:p>
    <w:p w14:paraId="125CE618" w14:textId="77777777" w:rsidR="004027D0" w:rsidRDefault="00000000">
      <w:r>
        <w:t>Dit document is een ontwerp van de nascholingsberekening en beschrijft de saldering per jaar en de verdeling van de overschotten over de jaren heen.</w:t>
      </w:r>
    </w:p>
    <w:p w14:paraId="10F3E510" w14:textId="77777777" w:rsidR="004027D0" w:rsidRDefault="00000000">
      <w:pPr>
        <w:pStyle w:val="Kop2"/>
      </w:pPr>
      <w:bookmarkStart w:id="2" w:name="__RefHeading___Toc566_2571674870"/>
      <w:bookmarkEnd w:id="2"/>
      <w:r>
        <w:lastRenderedPageBreak/>
        <w:t>De norm in de normdocumenten</w:t>
      </w:r>
    </w:p>
    <w:p w14:paraId="77A74F15" w14:textId="77777777" w:rsidR="004027D0" w:rsidRDefault="00000000">
      <w:r>
        <w:t>De norm in de normdocumenten van de NVKH d.d. 10 oktober 2023 ziet er als volgt uit:</w:t>
      </w:r>
    </w:p>
    <w:p w14:paraId="6891C247" w14:textId="77777777" w:rsidR="004027D0" w:rsidRDefault="00000000">
      <w:pPr>
        <w:pStyle w:val="bullets"/>
        <w:numPr>
          <w:ilvl w:val="0"/>
          <w:numId w:val="11"/>
        </w:numPr>
      </w:pPr>
      <w:r>
        <w:t xml:space="preserve">Leden dienen minimaal vier (vanaf 1-1-2024 vijf) geaccrediteerde nascholingsdagen per jaar te volgen, waarvan tenminste één dag gericht op medische nascholing. </w:t>
      </w:r>
      <w:r>
        <w:br/>
      </w:r>
    </w:p>
    <w:p w14:paraId="3AD6FC21" w14:textId="77777777" w:rsidR="004027D0" w:rsidRDefault="00000000">
      <w:pPr>
        <w:pStyle w:val="bullets"/>
        <w:numPr>
          <w:ilvl w:val="0"/>
          <w:numId w:val="11"/>
        </w:numPr>
      </w:pPr>
      <w:r>
        <w:t>Het is mogelijk om een jaar meer dagen te volgen en het volgende jaar minder. Ook is het mogelijk in een tweede jaar een tekort aan dagen van het eerste jaar in te lopen. Voorbeeld: Een tekort aan dagen in 2019 kan met een teveel aan dagen in 2018 of 2020 opgevangen worden, het jaar 2017 telt hierbij niet meer mee. In 3 jaar worden 12 dagen (vanaf 1-1-2024 15 dagen) nascholing gevolgd.</w:t>
      </w:r>
      <w:r>
        <w:br/>
      </w:r>
    </w:p>
    <w:p w14:paraId="64934BC3" w14:textId="77777777" w:rsidR="004027D0" w:rsidRDefault="00000000">
      <w:pPr>
        <w:pStyle w:val="bullets"/>
        <w:numPr>
          <w:ilvl w:val="0"/>
          <w:numId w:val="11"/>
        </w:numPr>
      </w:pPr>
      <w:r>
        <w:t xml:space="preserve">De nascholingsdagen worden jaarlijks geregistreerd na overleg van de nascholingsformulieren door de organisatoren van de nascholing of een bewijs van deelname dat is afgegeven door de organisator van de nascholing. </w:t>
      </w:r>
      <w:r>
        <w:br/>
      </w:r>
    </w:p>
    <w:p w14:paraId="01CE6683" w14:textId="77777777" w:rsidR="004027D0" w:rsidRDefault="00000000">
      <w:pPr>
        <w:pStyle w:val="bullets"/>
        <w:numPr>
          <w:ilvl w:val="0"/>
          <w:numId w:val="11"/>
        </w:numPr>
      </w:pPr>
      <w:r>
        <w:t xml:space="preserve">Betalingsbewijzen en reserveringsbevestigingen worden niet als deelnamebewijs geaccepteerd. </w:t>
      </w:r>
      <w:r>
        <w:br/>
      </w:r>
    </w:p>
    <w:p w14:paraId="663F6DEE" w14:textId="77777777" w:rsidR="004027D0" w:rsidRDefault="00000000">
      <w:pPr>
        <w:pStyle w:val="bullets"/>
        <w:numPr>
          <w:ilvl w:val="0"/>
          <w:numId w:val="11"/>
        </w:numPr>
      </w:pPr>
      <w:r>
        <w:t>Indien er sprake is van een periode tussen het jaar van diplomering en de NVKH-registratie dient de klassiek homeopaat in deze tussenliggende periode de vakbekwaamheid door middel van nascholing op peil te houden:</w:t>
      </w:r>
      <w:r>
        <w:br/>
      </w:r>
    </w:p>
    <w:p w14:paraId="2A692219" w14:textId="77777777" w:rsidR="004027D0" w:rsidRDefault="00000000">
      <w:pPr>
        <w:pStyle w:val="bullets"/>
        <w:numPr>
          <w:ilvl w:val="0"/>
          <w:numId w:val="11"/>
        </w:numPr>
      </w:pPr>
      <w:r>
        <w:t xml:space="preserve">De klassiek homeopaat dient voor registratie de bewijzen te overleggen van minimaal vier  (vanaf 1-1-2024 vijf) NVKH-erkende nascholingsdagen per jaar (conform de geregistreerde klassiek homeopaat) in de jaren voorafgaand aan de registratie. </w:t>
      </w:r>
      <w:r>
        <w:br/>
      </w:r>
    </w:p>
    <w:p w14:paraId="1E4DF35F" w14:textId="77777777" w:rsidR="004027D0" w:rsidRDefault="00000000">
      <w:pPr>
        <w:pStyle w:val="bullets"/>
        <w:numPr>
          <w:ilvl w:val="0"/>
          <w:numId w:val="11"/>
        </w:numPr>
      </w:pPr>
      <w:r>
        <w:t xml:space="preserve">In het jaar van diplomering is men vrijgesteld van het volgen van nascholing </w:t>
      </w:r>
    </w:p>
    <w:p w14:paraId="2F7E58A2" w14:textId="77777777" w:rsidR="004027D0" w:rsidRDefault="00000000">
      <w:pPr>
        <w:pStyle w:val="Kop2"/>
      </w:pPr>
      <w:bookmarkStart w:id="3" w:name="__RefHeading___Toc568_2571674870"/>
      <w:bookmarkEnd w:id="3"/>
      <w:r>
        <w:t>De norm</w:t>
      </w:r>
    </w:p>
    <w:p w14:paraId="1D1AFF84" w14:textId="77777777" w:rsidR="004027D0" w:rsidRDefault="00000000">
      <w:r>
        <w:t>Volgens de norm moet een homeopaat minimaal een voor een bepaald jaar vastgesteld aantal dagen opleiding volgen in de klassieke homeopathie, de medische basisvorming en daarnaast overige dagen. Er is dan ook sprake van 3 normgetallen per jaar:</w:t>
      </w:r>
    </w:p>
    <w:p w14:paraId="2FC93B6D" w14:textId="77777777" w:rsidR="004027D0" w:rsidRDefault="00000000">
      <w:pPr>
        <w:pStyle w:val="Lijstalinea"/>
        <w:numPr>
          <w:ilvl w:val="0"/>
          <w:numId w:val="2"/>
        </w:numPr>
        <w:spacing w:after="0"/>
      </w:pPr>
      <w:r>
        <w:t>Norm Klassieke Homeopathie – minimaal K dagen per jaar</w:t>
      </w:r>
    </w:p>
    <w:p w14:paraId="55F9A195" w14:textId="77777777" w:rsidR="004027D0" w:rsidRDefault="00000000">
      <w:pPr>
        <w:pStyle w:val="Lijstalinea"/>
        <w:numPr>
          <w:ilvl w:val="0"/>
          <w:numId w:val="2"/>
        </w:numPr>
        <w:spacing w:after="0"/>
      </w:pPr>
      <w:r>
        <w:t>Medisch – minimaal M dagen per jaar</w:t>
      </w:r>
    </w:p>
    <w:p w14:paraId="64B8BAED" w14:textId="77777777" w:rsidR="004027D0" w:rsidRDefault="00000000">
      <w:pPr>
        <w:pStyle w:val="Lijstalinea"/>
        <w:numPr>
          <w:ilvl w:val="0"/>
          <w:numId w:val="2"/>
        </w:numPr>
      </w:pPr>
      <w:r>
        <w:t xml:space="preserve">Totaal – minimaal T dagen per jaar, waarbij </w:t>
      </w:r>
    </w:p>
    <w:p w14:paraId="1DE80239" w14:textId="77777777" w:rsidR="004027D0" w:rsidRDefault="00000000">
      <w:r>
        <w:t>De normen worden per jaar vastgesteld. De afgelopen jaren waren die:</w:t>
      </w:r>
    </w:p>
    <w:p w14:paraId="68A9FC4D" w14:textId="77777777" w:rsidR="004027D0" w:rsidRDefault="00000000">
      <w:pPr>
        <w:pStyle w:val="Lijstalinea"/>
        <w:numPr>
          <w:ilvl w:val="0"/>
          <w:numId w:val="3"/>
        </w:numPr>
      </w:pPr>
      <w:r>
        <w:t>K = 1, M = 1 en T = 4</w:t>
      </w:r>
    </w:p>
    <w:p w14:paraId="5C410DA2" w14:textId="77777777" w:rsidR="004027D0" w:rsidRDefault="00000000">
      <w:r>
        <w:t>Daarnaast zin er speciale groepen waarvoor de norm anders kan zijn. Bijvoorbeeld de al medisch geschoolde homeopaten die ook verloskundige zijn:</w:t>
      </w:r>
    </w:p>
    <w:p w14:paraId="46B4DCC3" w14:textId="77777777" w:rsidR="004027D0" w:rsidRDefault="00000000">
      <w:pPr>
        <w:pStyle w:val="Lijstalinea"/>
        <w:numPr>
          <w:ilvl w:val="0"/>
          <w:numId w:val="4"/>
        </w:numPr>
      </w:pPr>
      <w:r>
        <w:t>K = 1, M = 0 en T = 2</w:t>
      </w:r>
    </w:p>
    <w:p w14:paraId="238607AC" w14:textId="77777777" w:rsidR="004027D0" w:rsidRDefault="00000000">
      <w:r>
        <w:t xml:space="preserve">Omdat niet iedereen in staat is om elk jaar te nascholen, daarom mag men compenseren. </w:t>
      </w:r>
    </w:p>
    <w:p w14:paraId="67E11B5D" w14:textId="77777777" w:rsidR="004027D0" w:rsidRDefault="00000000">
      <w:pPr>
        <w:pStyle w:val="Lijstalinea"/>
        <w:numPr>
          <w:ilvl w:val="0"/>
          <w:numId w:val="5"/>
        </w:numPr>
        <w:spacing w:after="0"/>
      </w:pPr>
      <w:r>
        <w:t xml:space="preserve">Er mogen maximaal de norm dagen worden gecompenseerd vanuit het voorgaande en vanuit het opvolgende jaar naar het onderhavige jaar, mits er voldoende dagen beschikbaar zijn. </w:t>
      </w:r>
    </w:p>
    <w:p w14:paraId="41E39C5F" w14:textId="77777777" w:rsidR="004027D0" w:rsidRDefault="00000000">
      <w:pPr>
        <w:pStyle w:val="Lijstalinea"/>
        <w:numPr>
          <w:ilvl w:val="0"/>
          <w:numId w:val="5"/>
        </w:numPr>
      </w:pPr>
      <w:r>
        <w:t xml:space="preserve">Per jaar worden voorts maximaal de norm dagen meegenomen naar het volgende jaar. </w:t>
      </w:r>
    </w:p>
    <w:p w14:paraId="53F2BD54" w14:textId="77777777" w:rsidR="004027D0" w:rsidRDefault="00000000">
      <w:pPr>
        <w:pStyle w:val="Kop2"/>
      </w:pPr>
      <w:bookmarkStart w:id="4" w:name="__RefHeading___Toc570_2571674870"/>
      <w:bookmarkEnd w:id="4"/>
      <w:r>
        <w:lastRenderedPageBreak/>
        <w:t>Berekening in algemene zin</w:t>
      </w:r>
    </w:p>
    <w:p w14:paraId="22563109" w14:textId="77777777" w:rsidR="004027D0" w:rsidRDefault="00000000">
      <w:r>
        <w:t xml:space="preserve">Globaal bestaat de berekening hieruit dat per jaar wordt gesaldeerd tegen de voor dat jaar geldende norm en daarna over de jaren heen wordt gedistribueerd. </w:t>
      </w:r>
    </w:p>
    <w:p w14:paraId="5FA3E0DD" w14:textId="77777777" w:rsidR="004027D0" w:rsidRDefault="00000000">
      <w:r>
        <w:rPr>
          <w:noProof/>
        </w:rPr>
        <w:drawing>
          <wp:inline distT="0" distB="0" distL="0" distR="0" wp14:anchorId="3D4ED26D" wp14:editId="13EB73AC">
            <wp:extent cx="5940425" cy="1806575"/>
            <wp:effectExtent l="0" t="0" r="0" b="0"/>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noChangeArrowheads="1"/>
                    </pic:cNvPicPr>
                  </pic:nvPicPr>
                  <pic:blipFill>
                    <a:blip r:embed="rId7"/>
                    <a:stretch>
                      <a:fillRect/>
                    </a:stretch>
                  </pic:blipFill>
                  <pic:spPr bwMode="auto">
                    <a:xfrm>
                      <a:off x="0" y="0"/>
                      <a:ext cx="5940425" cy="1806575"/>
                    </a:xfrm>
                    <a:prstGeom prst="rect">
                      <a:avLst/>
                    </a:prstGeom>
                  </pic:spPr>
                </pic:pic>
              </a:graphicData>
            </a:graphic>
          </wp:inline>
        </w:drawing>
      </w:r>
    </w:p>
    <w:p w14:paraId="2CF659C6" w14:textId="77777777" w:rsidR="004027D0" w:rsidRDefault="00000000">
      <w:pPr>
        <w:pStyle w:val="Kop2"/>
      </w:pPr>
      <w:bookmarkStart w:id="5" w:name="__RefHeading___Toc572_2571674870"/>
      <w:bookmarkEnd w:id="5"/>
      <w:r>
        <w:t>Gegevensmodel</w:t>
      </w:r>
    </w:p>
    <w:p w14:paraId="01DED275" w14:textId="77777777" w:rsidR="004027D0" w:rsidRDefault="00000000">
      <w:r>
        <w:rPr>
          <w:noProof/>
        </w:rPr>
        <w:drawing>
          <wp:inline distT="0" distB="0" distL="0" distR="0" wp14:anchorId="4AC13951" wp14:editId="71C0BC3A">
            <wp:extent cx="5940425" cy="2891155"/>
            <wp:effectExtent l="0" t="0" r="0" b="0"/>
            <wp:docPr id="2" name="Afbeeld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2"/>
                    <pic:cNvPicPr>
                      <a:picLocks noChangeAspect="1" noChangeArrowheads="1"/>
                    </pic:cNvPicPr>
                  </pic:nvPicPr>
                  <pic:blipFill>
                    <a:blip r:embed="rId8"/>
                    <a:stretch>
                      <a:fillRect/>
                    </a:stretch>
                  </pic:blipFill>
                  <pic:spPr bwMode="auto">
                    <a:xfrm>
                      <a:off x="0" y="0"/>
                      <a:ext cx="5940425" cy="2891155"/>
                    </a:xfrm>
                    <a:prstGeom prst="rect">
                      <a:avLst/>
                    </a:prstGeom>
                  </pic:spPr>
                </pic:pic>
              </a:graphicData>
            </a:graphic>
          </wp:inline>
        </w:drawing>
      </w:r>
    </w:p>
    <w:p w14:paraId="5C3C7798" w14:textId="77777777" w:rsidR="004027D0" w:rsidRDefault="00000000">
      <w:pPr>
        <w:pStyle w:val="Kop2"/>
      </w:pPr>
      <w:bookmarkStart w:id="6" w:name="__RefHeading___Toc574_2571674870"/>
      <w:bookmarkEnd w:id="6"/>
      <w:r>
        <w:t>Rekening mee te houden</w:t>
      </w:r>
    </w:p>
    <w:p w14:paraId="16C4D8B1" w14:textId="77777777" w:rsidR="004027D0" w:rsidRDefault="00000000">
      <w:pPr>
        <w:pStyle w:val="bullets"/>
        <w:numPr>
          <w:ilvl w:val="0"/>
          <w:numId w:val="9"/>
        </w:numPr>
      </w:pPr>
      <w:r>
        <w:t>Nascholingstotalen kunnen handmatig worden ingegeven. Dan komen de gevolgde dagen rechtstreeks uit het nascholingsrecord en worden er verder geen tellingen gedaan voor:</w:t>
      </w:r>
    </w:p>
    <w:p w14:paraId="18B9B9F2" w14:textId="77777777" w:rsidR="004027D0" w:rsidRDefault="00000000">
      <w:pPr>
        <w:pStyle w:val="bullets"/>
        <w:numPr>
          <w:ilvl w:val="1"/>
          <w:numId w:val="9"/>
        </w:numPr>
      </w:pPr>
      <w:r>
        <w:t xml:space="preserve">nascholingen </w:t>
      </w:r>
    </w:p>
    <w:p w14:paraId="281F42DF" w14:textId="77777777" w:rsidR="004027D0" w:rsidRDefault="00000000">
      <w:pPr>
        <w:pStyle w:val="bullets"/>
        <w:numPr>
          <w:ilvl w:val="1"/>
          <w:numId w:val="9"/>
        </w:numPr>
      </w:pPr>
      <w:r>
        <w:t>werkgroepen</w:t>
      </w:r>
    </w:p>
    <w:p w14:paraId="52552334" w14:textId="77777777" w:rsidR="004027D0" w:rsidRDefault="00000000">
      <w:pPr>
        <w:pStyle w:val="Kop2"/>
      </w:pPr>
      <w:bookmarkStart w:id="7" w:name="__RefHeading___Toc576_2571674870"/>
      <w:bookmarkEnd w:id="7"/>
      <w:r>
        <w:t>Salderen per jaar</w:t>
      </w:r>
    </w:p>
    <w:p w14:paraId="27345297" w14:textId="77777777" w:rsidR="004027D0" w:rsidRDefault="00000000">
      <w:r>
        <w:t>Voor een lid worden voor elk jaar de gevolgde nascholingsdagen opgeteld.</w:t>
      </w:r>
    </w:p>
    <w:p w14:paraId="1D513663" w14:textId="77777777" w:rsidR="004027D0" w:rsidRDefault="00000000">
      <w:pPr>
        <w:pStyle w:val="bullets"/>
        <w:numPr>
          <w:ilvl w:val="0"/>
          <w:numId w:val="6"/>
        </w:numPr>
      </w:pPr>
      <w:r>
        <w:t>Gevolgde dagen klassiek homeopathie</w:t>
      </w:r>
    </w:p>
    <w:p w14:paraId="4FA02B09" w14:textId="77777777" w:rsidR="004027D0" w:rsidRDefault="00000000">
      <w:pPr>
        <w:pStyle w:val="bullets"/>
        <w:numPr>
          <w:ilvl w:val="0"/>
          <w:numId w:val="6"/>
        </w:numPr>
      </w:pPr>
      <w:r>
        <w:t>Gevolgde dagen medisch</w:t>
      </w:r>
    </w:p>
    <w:p w14:paraId="4E9FE584" w14:textId="77777777" w:rsidR="004027D0" w:rsidRDefault="00000000">
      <w:pPr>
        <w:pStyle w:val="bullets"/>
        <w:numPr>
          <w:ilvl w:val="0"/>
          <w:numId w:val="6"/>
        </w:numPr>
      </w:pPr>
      <w:r>
        <w:t>Gevolgde dagen overig</w:t>
      </w:r>
    </w:p>
    <w:p w14:paraId="6734CC59" w14:textId="77777777" w:rsidR="004027D0" w:rsidRDefault="00000000" w:rsidP="00F3798A">
      <w:pPr>
        <w:pStyle w:val="KleinKopje"/>
      </w:pPr>
      <w:r>
        <w:t>Werkgroepen</w:t>
      </w:r>
    </w:p>
    <w:p w14:paraId="6F90528A" w14:textId="53E51663" w:rsidR="004027D0" w:rsidRDefault="00000000">
      <w:pPr>
        <w:numPr>
          <w:ilvl w:val="0"/>
          <w:numId w:val="7"/>
        </w:numPr>
      </w:pPr>
      <w:r>
        <w:t xml:space="preserve">Voor alle werkgroepen van het lid worden het aantal werkgroep verslagen geteld dat valt binnen het tijdvak waarin het lid deel uitmaakt van de werkgroep. Dit aantal wordt gedeeld door 6 en </w:t>
      </w:r>
      <w:r>
        <w:lastRenderedPageBreak/>
        <w:t xml:space="preserve">gemaximeerd op 1. </w:t>
      </w:r>
      <w:r w:rsidR="0076524F">
        <w:t>Dit geldt niet voor verloskundigen. Voor regiocode 8 worden daarom werkgroepen totalen altijd op 0 gezet en niet meegeteld.</w:t>
      </w:r>
    </w:p>
    <w:p w14:paraId="0EBB5AAB" w14:textId="77777777" w:rsidR="004027D0" w:rsidRDefault="00000000">
      <w:pPr>
        <w:rPr>
          <w:i/>
          <w:iCs/>
        </w:rPr>
      </w:pPr>
      <w:r>
        <w:rPr>
          <w:i/>
          <w:iCs/>
        </w:rPr>
        <w:t>Vrijstelling</w:t>
      </w:r>
    </w:p>
    <w:p w14:paraId="44920034" w14:textId="77777777" w:rsidR="004027D0" w:rsidRDefault="00000000">
      <w:pPr>
        <w:numPr>
          <w:ilvl w:val="0"/>
          <w:numId w:val="8"/>
        </w:numPr>
      </w:pPr>
      <w:r>
        <w:t xml:space="preserve">Het aantal dagen vrijstelling wordt bepaald naar aanleiding van het ingevoerde aantal in het nascholingstotaal record voor het gegeven jaar. </w:t>
      </w:r>
    </w:p>
    <w:p w14:paraId="301E9991" w14:textId="77777777" w:rsidR="004027D0" w:rsidRDefault="00000000">
      <w:r>
        <w:t>De optelling resulteert in een saldo voor het jaar per soort. In de onderstaande berekening worden  symbolen gebruikt die als volgt gelezen moeten worden:</w:t>
      </w:r>
    </w:p>
    <w:p w14:paraId="20F61EE1" w14:textId="77777777" w:rsidR="004027D0" w:rsidRDefault="00000000">
      <w:pPr>
        <w:pStyle w:val="bullets"/>
        <w:numPr>
          <w:ilvl w:val="0"/>
          <w:numId w:val="10"/>
        </w:numPr>
      </w:pPr>
      <w:r>
        <w:t>‘|’ - “waarvoor geldt”</w:t>
      </w:r>
    </w:p>
    <w:p w14:paraId="1D0B50FE" w14:textId="77777777" w:rsidR="004027D0" w:rsidRDefault="00000000">
      <w:pPr>
        <w:pStyle w:val="bullets"/>
        <w:numPr>
          <w:ilvl w:val="0"/>
          <w:numId w:val="10"/>
        </w:numPr>
      </w:pPr>
      <w:r>
        <w:t>‘⋀’ - "en”</w:t>
      </w:r>
    </w:p>
    <w:p w14:paraId="562EDD0A" w14:textId="77777777" w:rsidR="004027D0" w:rsidRDefault="00000000">
      <w:pPr>
        <w:pStyle w:val="bullets"/>
        <w:numPr>
          <w:ilvl w:val="0"/>
          <w:numId w:val="10"/>
        </w:numPr>
      </w:pPr>
      <w:r>
        <w:t>‘</w:t>
      </w:r>
      <w:r>
        <w:rPr>
          <w:rFonts w:ascii="Liberation Sans" w:eastAsia="DejaVu Sans" w:hAnsi="Liberation Sans" w:cs="DejaVu Sans"/>
          <w:szCs w:val="20"/>
        </w:rPr>
        <w:t>⋁’ - “of”</w:t>
      </w:r>
    </w:p>
    <w:p w14:paraId="5EE2AE62" w14:textId="77777777" w:rsidR="004027D0" w:rsidRDefault="00000000">
      <w:pPr>
        <w:pStyle w:val="bullets"/>
        <w:numPr>
          <w:ilvl w:val="0"/>
          <w:numId w:val="10"/>
        </w:numPr>
      </w:pPr>
      <w:r>
        <w:t>‘Σ’ – “som”</w:t>
      </w:r>
    </w:p>
    <w:p w14:paraId="3948D911" w14:textId="77777777" w:rsidR="004027D0" w:rsidRDefault="00000000">
      <w:pPr>
        <w:pStyle w:val="bullets"/>
        <w:numPr>
          <w:ilvl w:val="0"/>
          <w:numId w:val="10"/>
        </w:numPr>
      </w:pPr>
      <w:r>
        <w:t>‘∈’ - “onderdeel van / element van”</w:t>
      </w:r>
    </w:p>
    <w:p w14:paraId="3ABC377E" w14:textId="77777777" w:rsidR="004027D0" w:rsidRDefault="00000000">
      <w:pPr>
        <w:pStyle w:val="bullets"/>
        <w:numPr>
          <w:ilvl w:val="0"/>
          <w:numId w:val="10"/>
        </w:numPr>
      </w:pPr>
      <w:r>
        <w:t>‘=’ - “is gelijk aan”</w:t>
      </w:r>
    </w:p>
    <w:p w14:paraId="61A9C034" w14:textId="77777777" w:rsidR="004027D0" w:rsidRDefault="00000000">
      <w:pPr>
        <w:pStyle w:val="bullets"/>
        <w:numPr>
          <w:ilvl w:val="0"/>
          <w:numId w:val="10"/>
        </w:numPr>
      </w:pPr>
      <w:r>
        <w:t>‘MAX’ – “Het maximum van 2 of meer getallen”</w:t>
      </w:r>
    </w:p>
    <w:p w14:paraId="483F6627" w14:textId="77777777" w:rsidR="004027D0" w:rsidRDefault="00000000">
      <w:pPr>
        <w:pStyle w:val="bullets"/>
        <w:numPr>
          <w:ilvl w:val="0"/>
          <w:numId w:val="10"/>
        </w:numPr>
      </w:pPr>
      <w:r>
        <w:t>‘MIN’ – “Het minimum van 2 of meer getallen”</w:t>
      </w:r>
    </w:p>
    <w:p w14:paraId="433EC926" w14:textId="77777777" w:rsidR="004027D0" w:rsidRDefault="00000000">
      <w:pPr>
        <w:pStyle w:val="bullets"/>
        <w:numPr>
          <w:ilvl w:val="0"/>
          <w:numId w:val="10"/>
        </w:numPr>
      </w:pPr>
      <w:r>
        <w:t>‘&lt;’ - “Kleiner dan”</w:t>
      </w:r>
    </w:p>
    <w:p w14:paraId="5AB78E9F" w14:textId="77777777" w:rsidR="004027D0" w:rsidRDefault="00000000">
      <w:pPr>
        <w:pStyle w:val="bullets"/>
        <w:numPr>
          <w:ilvl w:val="0"/>
          <w:numId w:val="10"/>
        </w:numPr>
      </w:pPr>
      <w:r>
        <w:t>‘&gt;’ - “Groter dan”</w:t>
      </w:r>
    </w:p>
    <w:p w14:paraId="4EE73F1B" w14:textId="77777777" w:rsidR="004027D0" w:rsidRDefault="00000000">
      <w:pPr>
        <w:pStyle w:val="bullets"/>
        <w:numPr>
          <w:ilvl w:val="0"/>
          <w:numId w:val="10"/>
        </w:numPr>
        <w:tabs>
          <w:tab w:val="clear" w:pos="720"/>
          <w:tab w:val="left" w:pos="2081"/>
        </w:tabs>
      </w:pPr>
      <w:r>
        <w:t>‘</w:t>
      </w:r>
      <w:r>
        <w:rPr>
          <w:rFonts w:ascii="Liberation Serif" w:eastAsia="Liberation Serif" w:hAnsi="Liberation Serif" w:cs="Liberation Serif"/>
        </w:rPr>
        <w:t>≤</w:t>
      </w:r>
      <w:r>
        <w:rPr>
          <w:rFonts w:eastAsia="Arial" w:cs="Arial"/>
        </w:rPr>
        <w:t>’ - “Kleiner of gelijk aan”</w:t>
      </w:r>
    </w:p>
    <w:p w14:paraId="186CC461" w14:textId="77777777" w:rsidR="004027D0" w:rsidRDefault="00000000">
      <w:pPr>
        <w:pStyle w:val="bullets"/>
        <w:numPr>
          <w:ilvl w:val="0"/>
          <w:numId w:val="10"/>
        </w:numPr>
        <w:tabs>
          <w:tab w:val="clear" w:pos="720"/>
          <w:tab w:val="left" w:pos="2081"/>
        </w:tabs>
      </w:pPr>
      <w:r>
        <w:rPr>
          <w:rFonts w:ascii="Liberation Serif" w:eastAsia="Liberation Serif" w:hAnsi="Liberation Serif" w:cs="Liberation Serif"/>
        </w:rPr>
        <w:t xml:space="preserve">‘≥’ - </w:t>
      </w:r>
      <w:r>
        <w:t>“Groter of gelijk aan”</w:t>
      </w:r>
    </w:p>
    <w:p w14:paraId="1FB6815A" w14:textId="77777777" w:rsidR="004027D0" w:rsidRDefault="00000000">
      <w:pPr>
        <w:pStyle w:val="bullets"/>
        <w:numPr>
          <w:ilvl w:val="0"/>
          <w:numId w:val="10"/>
        </w:numPr>
        <w:tabs>
          <w:tab w:val="clear" w:pos="720"/>
          <w:tab w:val="left" w:pos="2081"/>
        </w:tabs>
      </w:pPr>
      <w:r>
        <w:t>‘+’ - “plus (optelling)”</w:t>
      </w:r>
    </w:p>
    <w:p w14:paraId="378D1171" w14:textId="77777777" w:rsidR="004027D0" w:rsidRDefault="00000000">
      <w:pPr>
        <w:pStyle w:val="bullets"/>
        <w:numPr>
          <w:ilvl w:val="0"/>
          <w:numId w:val="10"/>
        </w:numPr>
        <w:tabs>
          <w:tab w:val="clear" w:pos="720"/>
          <w:tab w:val="left" w:pos="2081"/>
        </w:tabs>
      </w:pPr>
      <w:r>
        <w:t>‘-’ - “min (aftrekking)”</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2865"/>
        <w:gridCol w:w="6600"/>
      </w:tblGrid>
      <w:tr w:rsidR="004027D0" w14:paraId="457AB904" w14:textId="77777777">
        <w:tc>
          <w:tcPr>
            <w:tcW w:w="2831" w:type="dxa"/>
            <w:tcBorders>
              <w:top w:val="single" w:sz="4" w:space="0" w:color="000000"/>
              <w:left w:val="single" w:sz="4" w:space="0" w:color="000000"/>
              <w:bottom w:val="single" w:sz="4" w:space="0" w:color="000000"/>
            </w:tcBorders>
            <w:shd w:val="clear" w:color="auto" w:fill="DDE8CB"/>
          </w:tcPr>
          <w:p w14:paraId="39E2FB49" w14:textId="77777777" w:rsidR="004027D0" w:rsidRDefault="00000000">
            <w:pPr>
              <w:pStyle w:val="Inhoudtabel"/>
              <w:keepNext/>
            </w:pPr>
            <w:r>
              <w:rPr>
                <w:b/>
                <w:bCs/>
              </w:rPr>
              <w:t>Soort</w:t>
            </w:r>
          </w:p>
        </w:tc>
        <w:tc>
          <w:tcPr>
            <w:tcW w:w="6523" w:type="dxa"/>
            <w:tcBorders>
              <w:top w:val="single" w:sz="4" w:space="0" w:color="000000"/>
              <w:left w:val="single" w:sz="4" w:space="0" w:color="000000"/>
              <w:bottom w:val="single" w:sz="4" w:space="0" w:color="000000"/>
              <w:right w:val="single" w:sz="4" w:space="0" w:color="000000"/>
            </w:tcBorders>
            <w:shd w:val="clear" w:color="auto" w:fill="DDE8CB"/>
          </w:tcPr>
          <w:p w14:paraId="53CEF430" w14:textId="77777777" w:rsidR="004027D0" w:rsidRDefault="00000000">
            <w:pPr>
              <w:pStyle w:val="Inhoudtabel"/>
              <w:keepNext/>
            </w:pPr>
            <w:r>
              <w:rPr>
                <w:b/>
                <w:bCs/>
              </w:rPr>
              <w:t>Berekening</w:t>
            </w:r>
          </w:p>
        </w:tc>
      </w:tr>
      <w:tr w:rsidR="004027D0" w14:paraId="40EA3D0C" w14:textId="77777777">
        <w:tc>
          <w:tcPr>
            <w:tcW w:w="2831" w:type="dxa"/>
            <w:tcBorders>
              <w:left w:val="single" w:sz="4" w:space="0" w:color="000000"/>
              <w:bottom w:val="single" w:sz="4" w:space="0" w:color="000000"/>
            </w:tcBorders>
          </w:tcPr>
          <w:p w14:paraId="1018B7A8" w14:textId="77777777" w:rsidR="004027D0" w:rsidRDefault="00000000">
            <w:pPr>
              <w:pStyle w:val="Inhoudtabel"/>
            </w:pPr>
            <w:r>
              <w:t>Normen</w:t>
            </w:r>
          </w:p>
        </w:tc>
        <w:tc>
          <w:tcPr>
            <w:tcW w:w="6523" w:type="dxa"/>
            <w:tcBorders>
              <w:left w:val="single" w:sz="4" w:space="0" w:color="000000"/>
              <w:bottom w:val="single" w:sz="4" w:space="0" w:color="000000"/>
              <w:right w:val="single" w:sz="4" w:space="0" w:color="000000"/>
            </w:tcBorders>
          </w:tcPr>
          <w:p w14:paraId="1F4A5C69" w14:textId="77777777" w:rsidR="004027D0" w:rsidRDefault="00000000">
            <w:pPr>
              <w:pStyle w:val="Inhoudtabel"/>
              <w:rPr>
                <w:rFonts w:ascii="Liberation Sans" w:hAnsi="Liberation Sans"/>
              </w:rPr>
            </w:pPr>
            <w:r>
              <w:rPr>
                <w:rFonts w:ascii="Liberation Sans" w:hAnsi="Liberation Sans"/>
              </w:rPr>
              <w:t>NK = nascholingsnorm.klassieke_homeopathie</w:t>
            </w:r>
          </w:p>
          <w:p w14:paraId="02C7DA5A" w14:textId="77777777" w:rsidR="004027D0" w:rsidRDefault="00000000">
            <w:pPr>
              <w:pStyle w:val="Inhoudtabel"/>
              <w:ind w:left="708"/>
              <w:rPr>
                <w:rFonts w:ascii="Liberation Sans" w:hAnsi="Liberation Sans"/>
              </w:rPr>
            </w:pPr>
            <w:r>
              <w:rPr>
                <w:rFonts w:ascii="Liberation Sans" w:hAnsi="Liberation Sans"/>
              </w:rPr>
              <w:t>| nascholingsnorm.jaar = nascholingstotaal.jaar</w:t>
            </w:r>
            <w:r>
              <w:rPr>
                <w:rFonts w:ascii="Liberation Sans" w:hAnsi="Liberation Sans"/>
                <w:szCs w:val="20"/>
              </w:rPr>
              <w:t xml:space="preserve"> </w:t>
            </w:r>
            <w:r>
              <w:rPr>
                <w:rFonts w:ascii="Liberation Sans" w:eastAsia="DejaVu Sans" w:hAnsi="Liberation Sans" w:cs="DejaVu Sans"/>
                <w:szCs w:val="20"/>
              </w:rPr>
              <w:t>⋀</w:t>
            </w:r>
          </w:p>
          <w:p w14:paraId="481056A2" w14:textId="77777777" w:rsidR="004027D0" w:rsidRDefault="00000000">
            <w:pPr>
              <w:pStyle w:val="Inhoudtabel"/>
              <w:ind w:left="708"/>
              <w:rPr>
                <w:rFonts w:ascii="Liberation Sans" w:hAnsi="Liberation Sans"/>
                <w:szCs w:val="20"/>
              </w:rPr>
            </w:pPr>
            <w:r>
              <w:rPr>
                <w:rFonts w:ascii="Liberation Sans" w:hAnsi="Liberation Sans"/>
                <w:szCs w:val="20"/>
              </w:rPr>
              <w:t xml:space="preserve">  (nascholingsnorm.soort = lid.regiocode </w:t>
            </w:r>
            <w:r>
              <w:rPr>
                <w:rFonts w:ascii="Liberation Sans" w:eastAsia="DejaVu Sans" w:hAnsi="Liberation Sans" w:cs="DejaVu Sans"/>
                <w:szCs w:val="20"/>
              </w:rPr>
              <w:t>⋁</w:t>
            </w:r>
          </w:p>
          <w:p w14:paraId="35D85793" w14:textId="77777777" w:rsidR="004027D0" w:rsidRDefault="00000000">
            <w:pPr>
              <w:pStyle w:val="Inhoudtabel"/>
              <w:ind w:left="708"/>
            </w:pPr>
            <w:r>
              <w:rPr>
                <w:rFonts w:ascii="Liberation Sans" w:eastAsia="DejaVu Sans" w:hAnsi="Liberation Sans" w:cs="DejaVu Sans"/>
                <w:szCs w:val="20"/>
              </w:rPr>
              <w:t xml:space="preserve">   nascholingsnorm.soort = -)</w:t>
            </w:r>
          </w:p>
          <w:p w14:paraId="47A48143" w14:textId="77777777" w:rsidR="004027D0" w:rsidRDefault="004027D0">
            <w:pPr>
              <w:pStyle w:val="Inhoudtabel"/>
            </w:pPr>
          </w:p>
          <w:p w14:paraId="0CFFBF89" w14:textId="77777777" w:rsidR="004027D0" w:rsidRDefault="00000000">
            <w:pPr>
              <w:pStyle w:val="Inhoudtabel"/>
              <w:rPr>
                <w:rFonts w:ascii="Liberation Sans" w:hAnsi="Liberation Sans"/>
              </w:rPr>
            </w:pPr>
            <w:r>
              <w:rPr>
                <w:rFonts w:ascii="Liberation Sans" w:hAnsi="Liberation Sans"/>
              </w:rPr>
              <w:t>NM = nascholingsnorm.medisch</w:t>
            </w:r>
          </w:p>
          <w:p w14:paraId="4A63963A" w14:textId="77777777" w:rsidR="004027D0" w:rsidRDefault="00000000">
            <w:pPr>
              <w:pStyle w:val="Inhoudtabel"/>
              <w:ind w:left="708"/>
              <w:rPr>
                <w:rFonts w:ascii="Liberation Sans" w:hAnsi="Liberation Sans"/>
              </w:rPr>
            </w:pPr>
            <w:r>
              <w:rPr>
                <w:rFonts w:ascii="Liberation Sans" w:hAnsi="Liberation Sans"/>
              </w:rPr>
              <w:t>| nascholingsnorm.jaar = nascholingstotaal.jaar</w:t>
            </w:r>
            <w:r>
              <w:rPr>
                <w:rFonts w:ascii="Liberation Sans" w:hAnsi="Liberation Sans"/>
                <w:szCs w:val="20"/>
              </w:rPr>
              <w:t xml:space="preserve"> </w:t>
            </w:r>
            <w:r>
              <w:rPr>
                <w:rFonts w:ascii="Liberation Sans" w:eastAsia="DejaVu Sans" w:hAnsi="Liberation Sans" w:cs="DejaVu Sans"/>
                <w:szCs w:val="20"/>
              </w:rPr>
              <w:t>⋀</w:t>
            </w:r>
          </w:p>
          <w:p w14:paraId="69871665" w14:textId="77777777" w:rsidR="004027D0" w:rsidRDefault="00000000">
            <w:pPr>
              <w:pStyle w:val="Inhoudtabel"/>
              <w:ind w:left="708"/>
              <w:rPr>
                <w:rFonts w:ascii="Liberation Sans" w:hAnsi="Liberation Sans"/>
                <w:szCs w:val="20"/>
              </w:rPr>
            </w:pPr>
            <w:r>
              <w:rPr>
                <w:rFonts w:ascii="Liberation Sans" w:hAnsi="Liberation Sans"/>
                <w:szCs w:val="20"/>
              </w:rPr>
              <w:t xml:space="preserve">  (nascholingsnorm.soort = lid.regiocode </w:t>
            </w:r>
            <w:r>
              <w:rPr>
                <w:rFonts w:ascii="Liberation Sans" w:eastAsia="DejaVu Sans" w:hAnsi="Liberation Sans" w:cs="DejaVu Sans"/>
                <w:szCs w:val="20"/>
              </w:rPr>
              <w:t>⋁</w:t>
            </w:r>
          </w:p>
          <w:p w14:paraId="7E730D09" w14:textId="77777777" w:rsidR="004027D0" w:rsidRDefault="00000000">
            <w:pPr>
              <w:pStyle w:val="Inhoudtabel"/>
              <w:ind w:left="708"/>
            </w:pPr>
            <w:r>
              <w:rPr>
                <w:rFonts w:ascii="Liberation Sans" w:eastAsia="DejaVu Sans" w:hAnsi="Liberation Sans" w:cs="DejaVu Sans"/>
                <w:szCs w:val="20"/>
              </w:rPr>
              <w:t xml:space="preserve">   nascholingsnorm.soort = -)</w:t>
            </w:r>
          </w:p>
          <w:p w14:paraId="1EC80523" w14:textId="77777777" w:rsidR="004027D0" w:rsidRDefault="004027D0">
            <w:pPr>
              <w:pStyle w:val="Inhoudtabel"/>
            </w:pPr>
          </w:p>
          <w:p w14:paraId="7A79D4B8" w14:textId="77777777" w:rsidR="004027D0" w:rsidRDefault="00000000">
            <w:pPr>
              <w:pStyle w:val="Inhoudtabel"/>
              <w:rPr>
                <w:rFonts w:ascii="Liberation Sans" w:hAnsi="Liberation Sans"/>
              </w:rPr>
            </w:pPr>
            <w:r>
              <w:rPr>
                <w:rFonts w:ascii="Liberation Sans" w:hAnsi="Liberation Sans"/>
              </w:rPr>
              <w:t>NT = nascholingsnorm.totaal</w:t>
            </w:r>
          </w:p>
          <w:p w14:paraId="2EE2A236" w14:textId="77777777" w:rsidR="004027D0" w:rsidRDefault="00000000">
            <w:pPr>
              <w:pStyle w:val="Inhoudtabel"/>
              <w:ind w:left="708"/>
              <w:rPr>
                <w:rFonts w:ascii="Liberation Sans" w:hAnsi="Liberation Sans"/>
              </w:rPr>
            </w:pPr>
            <w:r>
              <w:rPr>
                <w:rFonts w:ascii="Liberation Sans" w:hAnsi="Liberation Sans"/>
              </w:rPr>
              <w:t>| nascholingsnorm.jaar = nascholingstotaal.jaar</w:t>
            </w:r>
            <w:r>
              <w:rPr>
                <w:rFonts w:ascii="Liberation Sans" w:hAnsi="Liberation Sans"/>
                <w:szCs w:val="20"/>
              </w:rPr>
              <w:t xml:space="preserve"> </w:t>
            </w:r>
            <w:r>
              <w:rPr>
                <w:rFonts w:ascii="Liberation Sans" w:eastAsia="DejaVu Sans" w:hAnsi="Liberation Sans" w:cs="DejaVu Sans"/>
                <w:szCs w:val="20"/>
              </w:rPr>
              <w:t>⋀</w:t>
            </w:r>
          </w:p>
          <w:p w14:paraId="4775C5C3" w14:textId="77777777" w:rsidR="004027D0" w:rsidRDefault="00000000">
            <w:pPr>
              <w:pStyle w:val="Inhoudtabel"/>
              <w:ind w:left="708"/>
              <w:rPr>
                <w:rFonts w:ascii="Liberation Sans" w:hAnsi="Liberation Sans"/>
                <w:szCs w:val="20"/>
              </w:rPr>
            </w:pPr>
            <w:r>
              <w:rPr>
                <w:rFonts w:ascii="Liberation Sans" w:hAnsi="Liberation Sans"/>
                <w:szCs w:val="20"/>
              </w:rPr>
              <w:t xml:space="preserve">  (nascholingsnorm.soort = lid.regiocode </w:t>
            </w:r>
            <w:r>
              <w:rPr>
                <w:rFonts w:ascii="Liberation Sans" w:eastAsia="DejaVu Sans" w:hAnsi="Liberation Sans" w:cs="DejaVu Sans"/>
                <w:szCs w:val="20"/>
              </w:rPr>
              <w:t>⋁</w:t>
            </w:r>
          </w:p>
          <w:p w14:paraId="0C30A302" w14:textId="77777777" w:rsidR="004027D0" w:rsidRDefault="00000000">
            <w:pPr>
              <w:pStyle w:val="Inhoudtabel"/>
              <w:ind w:left="708"/>
              <w:rPr>
                <w:rFonts w:ascii="Liberation Sans" w:eastAsia="DejaVu Sans" w:hAnsi="Liberation Sans" w:cs="DejaVu Sans"/>
                <w:szCs w:val="20"/>
              </w:rPr>
            </w:pPr>
            <w:r>
              <w:rPr>
                <w:rFonts w:ascii="Liberation Sans" w:eastAsia="DejaVu Sans" w:hAnsi="Liberation Sans" w:cs="DejaVu Sans"/>
                <w:szCs w:val="20"/>
              </w:rPr>
              <w:t xml:space="preserve">   nascholingsnorm.soort = -)</w:t>
            </w:r>
          </w:p>
        </w:tc>
      </w:tr>
      <w:tr w:rsidR="004027D0" w14:paraId="2D820CBD" w14:textId="77777777">
        <w:tc>
          <w:tcPr>
            <w:tcW w:w="2831" w:type="dxa"/>
            <w:tcBorders>
              <w:left w:val="single" w:sz="4" w:space="0" w:color="000000"/>
              <w:bottom w:val="single" w:sz="4" w:space="0" w:color="000000"/>
            </w:tcBorders>
          </w:tcPr>
          <w:p w14:paraId="7534CD79" w14:textId="77777777" w:rsidR="004027D0" w:rsidRDefault="00000000">
            <w:pPr>
              <w:pStyle w:val="Inhoudtabel"/>
            </w:pPr>
            <w:r>
              <w:t>Vrijstelling</w:t>
            </w:r>
          </w:p>
        </w:tc>
        <w:tc>
          <w:tcPr>
            <w:tcW w:w="6523" w:type="dxa"/>
            <w:tcBorders>
              <w:left w:val="single" w:sz="4" w:space="0" w:color="000000"/>
              <w:bottom w:val="single" w:sz="4" w:space="0" w:color="000000"/>
              <w:right w:val="single" w:sz="4" w:space="0" w:color="000000"/>
            </w:tcBorders>
          </w:tcPr>
          <w:p w14:paraId="05BB8C2D" w14:textId="77777777" w:rsidR="004027D0" w:rsidRDefault="00000000">
            <w:pPr>
              <w:pStyle w:val="Inhoudtabel"/>
              <w:rPr>
                <w:rFonts w:ascii="Liberation Sans" w:hAnsi="Liberation Sans"/>
              </w:rPr>
            </w:pPr>
            <w:r>
              <w:rPr>
                <w:rFonts w:ascii="Liberation Sans" w:hAnsi="Liberation Sans"/>
              </w:rPr>
              <w:t>V = MIN(nascholingstotaal.vrijstelling, NT – NK – NM)</w:t>
            </w:r>
          </w:p>
          <w:p w14:paraId="06FD5F83" w14:textId="77777777" w:rsidR="004027D0" w:rsidRDefault="004027D0">
            <w:pPr>
              <w:pStyle w:val="Inhoudtabel"/>
              <w:rPr>
                <w:i/>
                <w:iCs/>
              </w:rPr>
            </w:pPr>
          </w:p>
          <w:p w14:paraId="4145CACE" w14:textId="77777777" w:rsidR="004027D0" w:rsidRDefault="00000000">
            <w:pPr>
              <w:pStyle w:val="Inhoudtabel"/>
              <w:rPr>
                <w:i/>
                <w:iCs/>
              </w:rPr>
            </w:pPr>
            <w:r>
              <w:rPr>
                <w:i/>
                <w:iCs/>
              </w:rPr>
              <w:t>Dit geeft de mogelijkheid om maximaal het saldo aan dagen voor ‘overig’ aan vrijstelling te geven voor een jaar.</w:t>
            </w:r>
          </w:p>
        </w:tc>
      </w:tr>
      <w:tr w:rsidR="004027D0" w14:paraId="338E162D" w14:textId="77777777">
        <w:tc>
          <w:tcPr>
            <w:tcW w:w="2831" w:type="dxa"/>
            <w:tcBorders>
              <w:left w:val="single" w:sz="4" w:space="0" w:color="000000"/>
              <w:bottom w:val="single" w:sz="4" w:space="0" w:color="000000"/>
            </w:tcBorders>
          </w:tcPr>
          <w:p w14:paraId="712F8892" w14:textId="77777777" w:rsidR="004027D0" w:rsidRDefault="00000000">
            <w:pPr>
              <w:pStyle w:val="Inhoudtabel"/>
            </w:pPr>
            <w:r>
              <w:t>Totaal Klassiek Homeopathie</w:t>
            </w:r>
          </w:p>
        </w:tc>
        <w:tc>
          <w:tcPr>
            <w:tcW w:w="6523" w:type="dxa"/>
            <w:tcBorders>
              <w:left w:val="single" w:sz="4" w:space="0" w:color="000000"/>
              <w:bottom w:val="single" w:sz="4" w:space="0" w:color="000000"/>
              <w:right w:val="single" w:sz="4" w:space="0" w:color="000000"/>
            </w:tcBorders>
          </w:tcPr>
          <w:p w14:paraId="4797480B" w14:textId="77777777" w:rsidR="004027D0" w:rsidRDefault="00000000">
            <w:pPr>
              <w:pStyle w:val="Inhoudtabel"/>
            </w:pPr>
            <w:r>
              <w:t>K = Σ(nascholing.dagen_kl_h)</w:t>
            </w:r>
          </w:p>
          <w:p w14:paraId="11B3A358" w14:textId="77777777" w:rsidR="004027D0" w:rsidRDefault="00000000">
            <w:pPr>
              <w:pStyle w:val="Inhoudtabel"/>
              <w:ind w:left="708"/>
            </w:pPr>
            <w:r>
              <w:t xml:space="preserve">| nascholing.datum </w:t>
            </w:r>
            <w:r>
              <w:rPr>
                <w:rFonts w:ascii="DejaVu Sans" w:eastAsia="DejaVu Sans" w:hAnsi="DejaVu Sans" w:cs="DejaVu Sans"/>
              </w:rPr>
              <w:t xml:space="preserve">∈ </w:t>
            </w:r>
            <w:r>
              <w:t>nascholingstotaal.jaar</w:t>
            </w:r>
          </w:p>
        </w:tc>
      </w:tr>
      <w:tr w:rsidR="004027D0" w14:paraId="4494F445" w14:textId="77777777">
        <w:tc>
          <w:tcPr>
            <w:tcW w:w="2831" w:type="dxa"/>
            <w:tcBorders>
              <w:left w:val="single" w:sz="4" w:space="0" w:color="000000"/>
              <w:bottom w:val="single" w:sz="4" w:space="0" w:color="000000"/>
            </w:tcBorders>
          </w:tcPr>
          <w:p w14:paraId="6CF58074" w14:textId="77777777" w:rsidR="004027D0" w:rsidRDefault="00000000">
            <w:pPr>
              <w:pStyle w:val="Inhoudtabel"/>
            </w:pPr>
            <w:r>
              <w:t>Saldo Klassieke Homeopathie</w:t>
            </w:r>
          </w:p>
        </w:tc>
        <w:tc>
          <w:tcPr>
            <w:tcW w:w="6523" w:type="dxa"/>
            <w:tcBorders>
              <w:left w:val="single" w:sz="4" w:space="0" w:color="000000"/>
              <w:bottom w:val="single" w:sz="4" w:space="0" w:color="000000"/>
              <w:right w:val="single" w:sz="4" w:space="0" w:color="000000"/>
            </w:tcBorders>
          </w:tcPr>
          <w:p w14:paraId="214DE69E" w14:textId="77777777" w:rsidR="004027D0" w:rsidRDefault="00000000">
            <w:pPr>
              <w:pStyle w:val="Inhoudtabel"/>
            </w:pPr>
            <w:r>
              <w:t>SK =  K – NK</w:t>
            </w:r>
          </w:p>
        </w:tc>
      </w:tr>
      <w:tr w:rsidR="004027D0" w14:paraId="33440624" w14:textId="77777777">
        <w:tc>
          <w:tcPr>
            <w:tcW w:w="2831" w:type="dxa"/>
            <w:tcBorders>
              <w:left w:val="single" w:sz="4" w:space="0" w:color="000000"/>
              <w:bottom w:val="single" w:sz="4" w:space="0" w:color="000000"/>
            </w:tcBorders>
          </w:tcPr>
          <w:p w14:paraId="216BCFBD" w14:textId="77777777" w:rsidR="004027D0" w:rsidRDefault="00000000">
            <w:pPr>
              <w:pStyle w:val="Inhoudtabel"/>
            </w:pPr>
            <w:r>
              <w:t>Totaal Medisch</w:t>
            </w:r>
          </w:p>
        </w:tc>
        <w:tc>
          <w:tcPr>
            <w:tcW w:w="6523" w:type="dxa"/>
            <w:tcBorders>
              <w:left w:val="single" w:sz="4" w:space="0" w:color="000000"/>
              <w:bottom w:val="single" w:sz="4" w:space="0" w:color="000000"/>
              <w:right w:val="single" w:sz="4" w:space="0" w:color="000000"/>
            </w:tcBorders>
          </w:tcPr>
          <w:p w14:paraId="400D42E0" w14:textId="77777777" w:rsidR="004027D0" w:rsidRDefault="00000000">
            <w:pPr>
              <w:pStyle w:val="Inhoudtabel"/>
            </w:pPr>
            <w:r>
              <w:t>M = Σ(nascholing.dagen_medisch)</w:t>
            </w:r>
          </w:p>
          <w:p w14:paraId="57CB7493" w14:textId="77777777" w:rsidR="004027D0" w:rsidRDefault="00000000">
            <w:pPr>
              <w:pStyle w:val="Inhoudtabel"/>
              <w:ind w:left="708"/>
            </w:pPr>
            <w:r>
              <w:t xml:space="preserve">| nascholing.datum </w:t>
            </w:r>
            <w:r>
              <w:rPr>
                <w:rFonts w:ascii="DejaVu Sans" w:eastAsia="DejaVu Sans" w:hAnsi="DejaVu Sans" w:cs="DejaVu Sans"/>
              </w:rPr>
              <w:t xml:space="preserve">∈ </w:t>
            </w:r>
            <w:r>
              <w:t>nascholingstotaal.jaar</w:t>
            </w:r>
          </w:p>
        </w:tc>
      </w:tr>
      <w:tr w:rsidR="004027D0" w14:paraId="5C47883E" w14:textId="77777777">
        <w:tc>
          <w:tcPr>
            <w:tcW w:w="2831" w:type="dxa"/>
            <w:tcBorders>
              <w:left w:val="single" w:sz="4" w:space="0" w:color="000000"/>
              <w:bottom w:val="single" w:sz="4" w:space="0" w:color="000000"/>
            </w:tcBorders>
          </w:tcPr>
          <w:p w14:paraId="53AC6BA4" w14:textId="77777777" w:rsidR="004027D0" w:rsidRDefault="00000000">
            <w:pPr>
              <w:pStyle w:val="Inhoudtabel"/>
            </w:pPr>
            <w:r>
              <w:t>Saldo Medisch</w:t>
            </w:r>
          </w:p>
        </w:tc>
        <w:tc>
          <w:tcPr>
            <w:tcW w:w="6523" w:type="dxa"/>
            <w:tcBorders>
              <w:left w:val="single" w:sz="4" w:space="0" w:color="000000"/>
              <w:bottom w:val="single" w:sz="4" w:space="0" w:color="000000"/>
              <w:right w:val="single" w:sz="4" w:space="0" w:color="000000"/>
            </w:tcBorders>
          </w:tcPr>
          <w:p w14:paraId="18AA673F" w14:textId="77777777" w:rsidR="004027D0" w:rsidRDefault="00000000">
            <w:pPr>
              <w:pStyle w:val="Inhoudtabel"/>
            </w:pPr>
            <w:r>
              <w:t>SM =  M – NM</w:t>
            </w:r>
          </w:p>
        </w:tc>
      </w:tr>
      <w:tr w:rsidR="004027D0" w14:paraId="1DDED8A5" w14:textId="77777777">
        <w:tc>
          <w:tcPr>
            <w:tcW w:w="2831" w:type="dxa"/>
            <w:tcBorders>
              <w:left w:val="single" w:sz="4" w:space="0" w:color="000000"/>
              <w:bottom w:val="single" w:sz="4" w:space="0" w:color="000000"/>
            </w:tcBorders>
          </w:tcPr>
          <w:p w14:paraId="3F42A0BE" w14:textId="77777777" w:rsidR="004027D0" w:rsidRDefault="00000000">
            <w:pPr>
              <w:pStyle w:val="Inhoudtabel"/>
            </w:pPr>
            <w:r>
              <w:lastRenderedPageBreak/>
              <w:t>Totaal Overig</w:t>
            </w:r>
          </w:p>
        </w:tc>
        <w:tc>
          <w:tcPr>
            <w:tcW w:w="6523" w:type="dxa"/>
            <w:tcBorders>
              <w:left w:val="single" w:sz="4" w:space="0" w:color="000000"/>
              <w:bottom w:val="single" w:sz="4" w:space="0" w:color="000000"/>
              <w:right w:val="single" w:sz="4" w:space="0" w:color="000000"/>
            </w:tcBorders>
          </w:tcPr>
          <w:p w14:paraId="7A1D7A47" w14:textId="77777777" w:rsidR="004027D0" w:rsidRDefault="00000000">
            <w:pPr>
              <w:pStyle w:val="Inhoudtabel"/>
            </w:pPr>
            <w:r>
              <w:t>O = Σ(nascholing.dagen_overig)</w:t>
            </w:r>
          </w:p>
          <w:p w14:paraId="57E8ED27" w14:textId="77777777" w:rsidR="004027D0" w:rsidRDefault="00000000">
            <w:pPr>
              <w:pStyle w:val="Inhoudtabel"/>
              <w:ind w:left="708"/>
            </w:pPr>
            <w:r>
              <w:t xml:space="preserve">| nascholing.datum </w:t>
            </w:r>
            <w:r>
              <w:rPr>
                <w:rFonts w:ascii="DejaVu Sans" w:eastAsia="DejaVu Sans" w:hAnsi="DejaVu Sans" w:cs="DejaVu Sans"/>
              </w:rPr>
              <w:t xml:space="preserve">∈ </w:t>
            </w:r>
            <w:r>
              <w:t>nascholingstotaal.jaar</w:t>
            </w:r>
          </w:p>
        </w:tc>
      </w:tr>
      <w:tr w:rsidR="004027D0" w14:paraId="3D07C78B" w14:textId="77777777">
        <w:tc>
          <w:tcPr>
            <w:tcW w:w="2831" w:type="dxa"/>
            <w:tcBorders>
              <w:left w:val="single" w:sz="4" w:space="0" w:color="000000"/>
              <w:bottom w:val="single" w:sz="4" w:space="0" w:color="000000"/>
            </w:tcBorders>
          </w:tcPr>
          <w:p w14:paraId="092A05DD" w14:textId="77777777" w:rsidR="004027D0" w:rsidRDefault="00000000">
            <w:pPr>
              <w:pStyle w:val="Inhoudtabel"/>
            </w:pPr>
            <w:r>
              <w:t>Werkgroepdagen</w:t>
            </w:r>
          </w:p>
        </w:tc>
        <w:tc>
          <w:tcPr>
            <w:tcW w:w="6523" w:type="dxa"/>
            <w:tcBorders>
              <w:left w:val="single" w:sz="4" w:space="0" w:color="000000"/>
              <w:bottom w:val="single" w:sz="4" w:space="0" w:color="000000"/>
              <w:right w:val="single" w:sz="4" w:space="0" w:color="000000"/>
            </w:tcBorders>
          </w:tcPr>
          <w:p w14:paraId="2C2FB38C" w14:textId="0CA8C308" w:rsidR="000E7CA7" w:rsidRDefault="00000000">
            <w:pPr>
              <w:pStyle w:val="Inhoudtabel"/>
            </w:pPr>
            <w:r>
              <w:t xml:space="preserve">W = (#werkgroepverslagen </w:t>
            </w:r>
            <w:r>
              <w:rPr>
                <w:rFonts w:cstheme="minorHAnsi"/>
              </w:rPr>
              <w:t>≥</w:t>
            </w:r>
            <w:r>
              <w:t xml:space="preserve"> 6</w:t>
            </w:r>
            <w:r w:rsidR="000E7CA7">
              <w:t xml:space="preserve"> &amp;&amp; regiocode </w:t>
            </w:r>
            <w:r w:rsidR="008F5534">
              <w:t>!</w:t>
            </w:r>
            <w:r w:rsidR="000E7CA7">
              <w:t>= 8</w:t>
            </w:r>
            <w:r>
              <w:t>) ? 1 : 0;</w:t>
            </w:r>
          </w:p>
        </w:tc>
      </w:tr>
      <w:tr w:rsidR="004027D0" w14:paraId="2C51178E" w14:textId="77777777">
        <w:tc>
          <w:tcPr>
            <w:tcW w:w="2831" w:type="dxa"/>
            <w:tcBorders>
              <w:left w:val="single" w:sz="4" w:space="0" w:color="000000"/>
              <w:bottom w:val="single" w:sz="4" w:space="0" w:color="000000"/>
            </w:tcBorders>
          </w:tcPr>
          <w:p w14:paraId="6E7EF67C" w14:textId="77777777" w:rsidR="004027D0" w:rsidRDefault="00000000">
            <w:pPr>
              <w:pStyle w:val="Inhoudtabel"/>
            </w:pPr>
            <w:r>
              <w:t>Totaal Dagen</w:t>
            </w:r>
          </w:p>
        </w:tc>
        <w:tc>
          <w:tcPr>
            <w:tcW w:w="6523" w:type="dxa"/>
            <w:tcBorders>
              <w:left w:val="single" w:sz="4" w:space="0" w:color="000000"/>
              <w:bottom w:val="single" w:sz="4" w:space="0" w:color="000000"/>
              <w:right w:val="single" w:sz="4" w:space="0" w:color="000000"/>
            </w:tcBorders>
          </w:tcPr>
          <w:p w14:paraId="17C2EED5" w14:textId="77777777" w:rsidR="004027D0" w:rsidRDefault="00000000">
            <w:pPr>
              <w:pStyle w:val="Inhoudtabel"/>
            </w:pPr>
            <w:r>
              <w:t>T = K + M + O + W + V</w:t>
            </w:r>
          </w:p>
        </w:tc>
      </w:tr>
      <w:tr w:rsidR="004027D0" w14:paraId="774A032D" w14:textId="77777777">
        <w:tc>
          <w:tcPr>
            <w:tcW w:w="2831" w:type="dxa"/>
            <w:tcBorders>
              <w:left w:val="single" w:sz="4" w:space="0" w:color="000000"/>
              <w:bottom w:val="single" w:sz="4" w:space="0" w:color="000000"/>
            </w:tcBorders>
          </w:tcPr>
          <w:p w14:paraId="3E016293" w14:textId="77777777" w:rsidR="004027D0" w:rsidRDefault="00000000">
            <w:pPr>
              <w:pStyle w:val="Inhoudtabel"/>
            </w:pPr>
            <w:r>
              <w:t>Saldo Totaal</w:t>
            </w:r>
          </w:p>
        </w:tc>
        <w:tc>
          <w:tcPr>
            <w:tcW w:w="6523" w:type="dxa"/>
            <w:tcBorders>
              <w:left w:val="single" w:sz="4" w:space="0" w:color="000000"/>
              <w:bottom w:val="single" w:sz="4" w:space="0" w:color="000000"/>
              <w:right w:val="single" w:sz="4" w:space="0" w:color="000000"/>
            </w:tcBorders>
          </w:tcPr>
          <w:p w14:paraId="562F7FE3" w14:textId="77777777" w:rsidR="004027D0" w:rsidRDefault="00000000">
            <w:pPr>
              <w:pStyle w:val="Inhoudtabel"/>
            </w:pPr>
            <w:r>
              <w:t>ST = T - NT</w:t>
            </w:r>
          </w:p>
        </w:tc>
      </w:tr>
    </w:tbl>
    <w:p w14:paraId="6D68BBC6" w14:textId="77777777" w:rsidR="004027D0" w:rsidRDefault="00000000">
      <w:r>
        <w:br/>
        <w:t>Uit de berekening per jaar komen de volgende getallen:</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085"/>
        <w:gridCol w:w="8380"/>
      </w:tblGrid>
      <w:tr w:rsidR="004027D0" w14:paraId="7F04135C" w14:textId="77777777">
        <w:tc>
          <w:tcPr>
            <w:tcW w:w="1072" w:type="dxa"/>
            <w:tcBorders>
              <w:top w:val="single" w:sz="4" w:space="0" w:color="000000"/>
              <w:left w:val="single" w:sz="4" w:space="0" w:color="000000"/>
              <w:bottom w:val="single" w:sz="4" w:space="0" w:color="000000"/>
            </w:tcBorders>
            <w:shd w:val="clear" w:color="auto" w:fill="DDE8CB"/>
          </w:tcPr>
          <w:p w14:paraId="65F88075" w14:textId="77777777" w:rsidR="004027D0" w:rsidRDefault="00000000">
            <w:pPr>
              <w:pStyle w:val="Inhoudtabel"/>
              <w:keepNext/>
            </w:pPr>
            <w:r>
              <w:rPr>
                <w:b/>
                <w:bCs/>
              </w:rPr>
              <w:t>Soort</w:t>
            </w:r>
          </w:p>
        </w:tc>
        <w:tc>
          <w:tcPr>
            <w:tcW w:w="8282" w:type="dxa"/>
            <w:tcBorders>
              <w:top w:val="single" w:sz="4" w:space="0" w:color="000000"/>
              <w:left w:val="single" w:sz="4" w:space="0" w:color="000000"/>
              <w:bottom w:val="single" w:sz="4" w:space="0" w:color="000000"/>
              <w:right w:val="single" w:sz="4" w:space="0" w:color="000000"/>
            </w:tcBorders>
            <w:shd w:val="clear" w:color="auto" w:fill="DDE8CB"/>
          </w:tcPr>
          <w:p w14:paraId="0964E724" w14:textId="77777777" w:rsidR="004027D0" w:rsidRDefault="00000000">
            <w:pPr>
              <w:pStyle w:val="Inhoudtabel"/>
              <w:keepNext/>
            </w:pPr>
            <w:r>
              <w:rPr>
                <w:b/>
                <w:bCs/>
              </w:rPr>
              <w:t>Uitleg</w:t>
            </w:r>
          </w:p>
        </w:tc>
      </w:tr>
      <w:tr w:rsidR="004027D0" w14:paraId="41FB3807" w14:textId="77777777">
        <w:tc>
          <w:tcPr>
            <w:tcW w:w="1072" w:type="dxa"/>
            <w:tcBorders>
              <w:left w:val="single" w:sz="4" w:space="0" w:color="000000"/>
              <w:bottom w:val="single" w:sz="4" w:space="0" w:color="000000"/>
            </w:tcBorders>
          </w:tcPr>
          <w:p w14:paraId="5A67B4F8" w14:textId="77777777" w:rsidR="004027D0" w:rsidRDefault="00000000">
            <w:pPr>
              <w:pStyle w:val="Inhoudtabel"/>
              <w:jc w:val="center"/>
            </w:pPr>
            <w:r>
              <w:t>SK</w:t>
            </w:r>
          </w:p>
        </w:tc>
        <w:tc>
          <w:tcPr>
            <w:tcW w:w="8282" w:type="dxa"/>
            <w:tcBorders>
              <w:left w:val="single" w:sz="4" w:space="0" w:color="000000"/>
              <w:bottom w:val="single" w:sz="4" w:space="0" w:color="000000"/>
              <w:right w:val="single" w:sz="4" w:space="0" w:color="000000"/>
            </w:tcBorders>
          </w:tcPr>
          <w:p w14:paraId="5796745F" w14:textId="77777777" w:rsidR="004027D0" w:rsidRDefault="00000000">
            <w:pPr>
              <w:pStyle w:val="Inhoudtabel"/>
              <w:rPr>
                <w:rFonts w:ascii="Liberation Sans" w:hAnsi="Liberation Sans"/>
              </w:rPr>
            </w:pPr>
            <w:r>
              <w:rPr>
                <w:rFonts w:ascii="Liberation Sans" w:eastAsia="DejaVu Sans" w:hAnsi="Liberation Sans" w:cs="DejaVu Sans"/>
                <w:szCs w:val="20"/>
              </w:rPr>
              <w:t>Saldo Klassieke Homeopathie. Het totaal aantal dagen nascholing ‘klassieke homeopathie’ dat gevolgd is minus de norm voor klassieke homeopathie.</w:t>
            </w:r>
          </w:p>
        </w:tc>
      </w:tr>
      <w:tr w:rsidR="004027D0" w14:paraId="4F9BF912" w14:textId="77777777">
        <w:tc>
          <w:tcPr>
            <w:tcW w:w="1072" w:type="dxa"/>
            <w:tcBorders>
              <w:left w:val="single" w:sz="4" w:space="0" w:color="000000"/>
              <w:bottom w:val="single" w:sz="4" w:space="0" w:color="000000"/>
            </w:tcBorders>
          </w:tcPr>
          <w:p w14:paraId="5DA14460" w14:textId="77777777" w:rsidR="004027D0" w:rsidRDefault="00000000">
            <w:pPr>
              <w:pStyle w:val="Inhoudtabel"/>
              <w:jc w:val="center"/>
            </w:pPr>
            <w:r>
              <w:t>SM</w:t>
            </w:r>
          </w:p>
        </w:tc>
        <w:tc>
          <w:tcPr>
            <w:tcW w:w="8282" w:type="dxa"/>
            <w:tcBorders>
              <w:left w:val="single" w:sz="4" w:space="0" w:color="000000"/>
              <w:bottom w:val="single" w:sz="4" w:space="0" w:color="000000"/>
              <w:right w:val="single" w:sz="4" w:space="0" w:color="000000"/>
            </w:tcBorders>
          </w:tcPr>
          <w:p w14:paraId="0EC8FCEE" w14:textId="77777777" w:rsidR="004027D0" w:rsidRDefault="00000000">
            <w:pPr>
              <w:pStyle w:val="Inhoudtabel"/>
              <w:rPr>
                <w:rFonts w:ascii="Liberation Sans" w:hAnsi="Liberation Sans"/>
              </w:rPr>
            </w:pPr>
            <w:r>
              <w:rPr>
                <w:rFonts w:ascii="Liberation Sans" w:hAnsi="Liberation Sans"/>
              </w:rPr>
              <w:t>Saldo Medisch. Het totaal aantal dagen nascholing ‘medisch’ dat gevolgd is minus de norm voor medisch.</w:t>
            </w:r>
          </w:p>
        </w:tc>
      </w:tr>
      <w:tr w:rsidR="004027D0" w14:paraId="2149E090" w14:textId="77777777">
        <w:tc>
          <w:tcPr>
            <w:tcW w:w="1072" w:type="dxa"/>
            <w:tcBorders>
              <w:left w:val="single" w:sz="4" w:space="0" w:color="000000"/>
              <w:bottom w:val="single" w:sz="4" w:space="0" w:color="000000"/>
            </w:tcBorders>
          </w:tcPr>
          <w:p w14:paraId="2DAF13BD" w14:textId="77777777" w:rsidR="004027D0" w:rsidRDefault="00000000">
            <w:pPr>
              <w:pStyle w:val="Inhoudtabel"/>
              <w:jc w:val="center"/>
            </w:pPr>
            <w:r>
              <w:t>ST</w:t>
            </w:r>
          </w:p>
        </w:tc>
        <w:tc>
          <w:tcPr>
            <w:tcW w:w="8282" w:type="dxa"/>
            <w:tcBorders>
              <w:left w:val="single" w:sz="4" w:space="0" w:color="000000"/>
              <w:bottom w:val="single" w:sz="4" w:space="0" w:color="000000"/>
              <w:right w:val="single" w:sz="4" w:space="0" w:color="000000"/>
            </w:tcBorders>
          </w:tcPr>
          <w:p w14:paraId="3094F83A" w14:textId="77777777" w:rsidR="004027D0" w:rsidRDefault="00000000">
            <w:pPr>
              <w:pStyle w:val="Inhoudtabel"/>
              <w:rPr>
                <w:rFonts w:ascii="Liberation Sans" w:hAnsi="Liberation Sans"/>
              </w:rPr>
            </w:pPr>
            <w:r>
              <w:rPr>
                <w:rFonts w:ascii="Liberation Sans" w:hAnsi="Liberation Sans"/>
              </w:rPr>
              <w:t>Saldo Totaal. Het totaal aantal dagen nascholing, inclusief ‘overig’ dat gevolgd is minus de norm voor het totaal.</w:t>
            </w:r>
          </w:p>
          <w:p w14:paraId="5E03963F" w14:textId="77777777" w:rsidR="004027D0" w:rsidRDefault="004027D0">
            <w:pPr>
              <w:pStyle w:val="Inhoudtabel"/>
              <w:rPr>
                <w:rFonts w:ascii="Liberation Sans" w:hAnsi="Liberation Sans"/>
              </w:rPr>
            </w:pPr>
          </w:p>
          <w:p w14:paraId="4AA7CC2C" w14:textId="77777777" w:rsidR="004027D0" w:rsidRDefault="00000000">
            <w:pPr>
              <w:pStyle w:val="Inhoudtabel"/>
              <w:rPr>
                <w:rFonts w:ascii="Liberation Sans" w:hAnsi="Liberation Sans"/>
              </w:rPr>
            </w:pPr>
            <w:r>
              <w:rPr>
                <w:rFonts w:ascii="Liberation Sans" w:hAnsi="Liberation Sans"/>
              </w:rPr>
              <w:t>De vrijstelling is hierbij gemaximeerd op de norm voor overig, zijnde ‘Norm totaal’ – ‘Norm medisch’ – ‘Norm Klassieke homeopathie’.</w:t>
            </w:r>
          </w:p>
          <w:p w14:paraId="2250934C" w14:textId="77777777" w:rsidR="004027D0" w:rsidRDefault="004027D0">
            <w:pPr>
              <w:pStyle w:val="Inhoudtabel"/>
              <w:rPr>
                <w:rFonts w:ascii="Liberation Sans" w:hAnsi="Liberation Sans"/>
              </w:rPr>
            </w:pPr>
          </w:p>
          <w:p w14:paraId="082F7FE3" w14:textId="77777777" w:rsidR="004027D0" w:rsidRDefault="00000000">
            <w:pPr>
              <w:pStyle w:val="Inhoudtabel"/>
              <w:rPr>
                <w:rFonts w:ascii="Liberation Sans" w:hAnsi="Liberation Sans"/>
              </w:rPr>
            </w:pPr>
            <w:r>
              <w:rPr>
                <w:rFonts w:ascii="Liberation Sans" w:hAnsi="Liberation Sans"/>
              </w:rPr>
              <w:t>Gevolg is dat er voor normale vrijstellingen nog altijd NK en NM dagen klassieke homeopathie en medisch moeten worden gevolgd. Dit kan eventueel ondervangen worden door een handmatige nascholing op te voeren met een aantal dagen klassieke homeopathie resp. medisch als het aan de orde is om daar ook vrijstelling voor te geven.</w:t>
            </w:r>
          </w:p>
        </w:tc>
      </w:tr>
    </w:tbl>
    <w:p w14:paraId="2A38B786" w14:textId="77777777" w:rsidR="004027D0" w:rsidRDefault="00000000">
      <w:r>
        <w:br/>
        <w:t>Een voorbeeld voor 2022:</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714"/>
        <w:gridCol w:w="7751"/>
      </w:tblGrid>
      <w:tr w:rsidR="004027D0" w14:paraId="64761D20" w14:textId="77777777">
        <w:tc>
          <w:tcPr>
            <w:tcW w:w="1694" w:type="dxa"/>
            <w:tcBorders>
              <w:top w:val="single" w:sz="4" w:space="0" w:color="000000"/>
              <w:left w:val="single" w:sz="4" w:space="0" w:color="000000"/>
              <w:bottom w:val="single" w:sz="4" w:space="0" w:color="000000"/>
            </w:tcBorders>
            <w:shd w:val="clear" w:color="auto" w:fill="DDE8CB"/>
          </w:tcPr>
          <w:p w14:paraId="5CE566E5" w14:textId="77777777" w:rsidR="004027D0" w:rsidRDefault="00000000">
            <w:pPr>
              <w:pStyle w:val="Inhoudtabel"/>
              <w:keepNext/>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val="clear" w:color="auto" w:fill="DDE8CB"/>
          </w:tcPr>
          <w:p w14:paraId="67A94983" w14:textId="77777777" w:rsidR="004027D0" w:rsidRDefault="00000000">
            <w:pPr>
              <w:pStyle w:val="Inhoudtabel"/>
              <w:keepNext/>
            </w:pPr>
            <w:r>
              <w:rPr>
                <w:b/>
                <w:bCs/>
              </w:rPr>
              <w:t>Berekening</w:t>
            </w:r>
          </w:p>
        </w:tc>
      </w:tr>
      <w:tr w:rsidR="004027D0" w14:paraId="6EA72B68" w14:textId="77777777">
        <w:tc>
          <w:tcPr>
            <w:tcW w:w="1694" w:type="dxa"/>
            <w:tcBorders>
              <w:left w:val="single" w:sz="4" w:space="0" w:color="000000"/>
              <w:bottom w:val="single" w:sz="4" w:space="0" w:color="000000"/>
            </w:tcBorders>
          </w:tcPr>
          <w:p w14:paraId="22483C1A" w14:textId="77777777" w:rsidR="004027D0" w:rsidRDefault="00000000">
            <w:pPr>
              <w:pStyle w:val="Inhoudtabel"/>
              <w:jc w:val="center"/>
            </w:pPr>
            <w:r>
              <w:t>NK</w:t>
            </w:r>
          </w:p>
        </w:tc>
        <w:tc>
          <w:tcPr>
            <w:tcW w:w="7660" w:type="dxa"/>
            <w:tcBorders>
              <w:left w:val="single" w:sz="4" w:space="0" w:color="000000"/>
              <w:bottom w:val="single" w:sz="4" w:space="0" w:color="000000"/>
              <w:right w:val="single" w:sz="4" w:space="0" w:color="000000"/>
            </w:tcBorders>
          </w:tcPr>
          <w:p w14:paraId="4836855D" w14:textId="77777777" w:rsidR="004027D0" w:rsidRDefault="00000000">
            <w:pPr>
              <w:pStyle w:val="Inhoudtabel"/>
              <w:rPr>
                <w:rFonts w:ascii="Liberation Sans" w:hAnsi="Liberation Sans"/>
              </w:rPr>
            </w:pPr>
            <w:r>
              <w:rPr>
                <w:rFonts w:ascii="Liberation Sans" w:eastAsia="DejaVu Sans" w:hAnsi="Liberation Sans" w:cs="DejaVu Sans"/>
                <w:szCs w:val="20"/>
              </w:rPr>
              <w:t>NK = 1. De norm voor 2022 voor klassieke homeopathie is 1 dag.</w:t>
            </w:r>
          </w:p>
        </w:tc>
      </w:tr>
      <w:tr w:rsidR="004027D0" w14:paraId="60E9ADE2" w14:textId="77777777">
        <w:tc>
          <w:tcPr>
            <w:tcW w:w="1694" w:type="dxa"/>
            <w:tcBorders>
              <w:left w:val="single" w:sz="4" w:space="0" w:color="000000"/>
              <w:bottom w:val="single" w:sz="4" w:space="0" w:color="000000"/>
            </w:tcBorders>
          </w:tcPr>
          <w:p w14:paraId="1E3920D5" w14:textId="77777777" w:rsidR="004027D0" w:rsidRDefault="00000000">
            <w:pPr>
              <w:pStyle w:val="Inhoudtabel"/>
              <w:jc w:val="center"/>
            </w:pPr>
            <w:r>
              <w:t>NM</w:t>
            </w:r>
          </w:p>
        </w:tc>
        <w:tc>
          <w:tcPr>
            <w:tcW w:w="7660" w:type="dxa"/>
            <w:tcBorders>
              <w:left w:val="single" w:sz="4" w:space="0" w:color="000000"/>
              <w:bottom w:val="single" w:sz="4" w:space="0" w:color="000000"/>
              <w:right w:val="single" w:sz="4" w:space="0" w:color="000000"/>
            </w:tcBorders>
          </w:tcPr>
          <w:p w14:paraId="10AD3C29" w14:textId="77777777" w:rsidR="004027D0" w:rsidRDefault="00000000">
            <w:pPr>
              <w:pStyle w:val="Inhoudtabel"/>
              <w:rPr>
                <w:rFonts w:ascii="Liberation Sans" w:hAnsi="Liberation Sans"/>
              </w:rPr>
            </w:pPr>
            <w:r>
              <w:rPr>
                <w:rFonts w:ascii="Liberation Sans" w:hAnsi="Liberation Sans"/>
              </w:rPr>
              <w:t>NM = 1. De norm voor 2022 voor medisch is 1 dag.</w:t>
            </w:r>
          </w:p>
        </w:tc>
      </w:tr>
      <w:tr w:rsidR="004027D0" w14:paraId="54507335" w14:textId="77777777">
        <w:tc>
          <w:tcPr>
            <w:tcW w:w="1694" w:type="dxa"/>
            <w:tcBorders>
              <w:left w:val="single" w:sz="4" w:space="0" w:color="000000"/>
              <w:bottom w:val="single" w:sz="4" w:space="0" w:color="000000"/>
            </w:tcBorders>
          </w:tcPr>
          <w:p w14:paraId="7FC0B1C1" w14:textId="77777777" w:rsidR="004027D0" w:rsidRDefault="00000000">
            <w:pPr>
              <w:pStyle w:val="Inhoudtabel"/>
              <w:jc w:val="center"/>
            </w:pPr>
            <w:r>
              <w:t>NT</w:t>
            </w:r>
          </w:p>
        </w:tc>
        <w:tc>
          <w:tcPr>
            <w:tcW w:w="7660" w:type="dxa"/>
            <w:tcBorders>
              <w:left w:val="single" w:sz="4" w:space="0" w:color="000000"/>
              <w:bottom w:val="single" w:sz="4" w:space="0" w:color="000000"/>
              <w:right w:val="single" w:sz="4" w:space="0" w:color="000000"/>
            </w:tcBorders>
          </w:tcPr>
          <w:p w14:paraId="1E704695" w14:textId="77777777" w:rsidR="004027D0" w:rsidRDefault="00000000">
            <w:pPr>
              <w:pStyle w:val="Inhoudtabel"/>
              <w:rPr>
                <w:rFonts w:ascii="Liberation Sans" w:hAnsi="Liberation Sans"/>
              </w:rPr>
            </w:pPr>
            <w:r>
              <w:rPr>
                <w:rFonts w:ascii="Liberation Sans" w:hAnsi="Liberation Sans"/>
              </w:rPr>
              <w:t>NT = 4. De norm voor 2022 voor het totaal aantal te volgen dagen is 4.</w:t>
            </w:r>
          </w:p>
        </w:tc>
      </w:tr>
      <w:tr w:rsidR="004027D0" w14:paraId="0A1AC370" w14:textId="77777777">
        <w:tc>
          <w:tcPr>
            <w:tcW w:w="1694" w:type="dxa"/>
            <w:tcBorders>
              <w:left w:val="single" w:sz="4" w:space="0" w:color="000000"/>
              <w:bottom w:val="single" w:sz="4" w:space="0" w:color="000000"/>
            </w:tcBorders>
          </w:tcPr>
          <w:p w14:paraId="2D60911F" w14:textId="77777777" w:rsidR="004027D0" w:rsidRDefault="00000000">
            <w:pPr>
              <w:pStyle w:val="Inhoudtabel"/>
              <w:jc w:val="center"/>
            </w:pPr>
            <w:r>
              <w:t>Voorbeeld 1</w:t>
            </w:r>
          </w:p>
        </w:tc>
        <w:tc>
          <w:tcPr>
            <w:tcW w:w="7660" w:type="dxa"/>
            <w:tcBorders>
              <w:left w:val="single" w:sz="4" w:space="0" w:color="000000"/>
              <w:bottom w:val="single" w:sz="4" w:space="0" w:color="000000"/>
              <w:right w:val="single" w:sz="4" w:space="0" w:color="000000"/>
            </w:tcBorders>
          </w:tcPr>
          <w:p w14:paraId="6CAC1612" w14:textId="77777777" w:rsidR="004027D0" w:rsidRDefault="00000000">
            <w:pPr>
              <w:pStyle w:val="Inhoudtabel"/>
              <w:rPr>
                <w:rFonts w:ascii="Liberation Sans" w:hAnsi="Liberation Sans"/>
                <w:lang w:val="en-US"/>
              </w:rPr>
            </w:pPr>
            <w:r>
              <w:rPr>
                <w:rFonts w:ascii="Liberation Sans" w:hAnsi="Liberation Sans"/>
                <w:lang w:val="en-US"/>
              </w:rPr>
              <w:t>K = 2, M = 1, O = 3, V = 1: SK = 1, SM = 0, ST = 3</w:t>
            </w:r>
          </w:p>
          <w:p w14:paraId="20D79924" w14:textId="77777777" w:rsidR="004027D0" w:rsidRDefault="00000000">
            <w:pPr>
              <w:pStyle w:val="Inhoudtabel"/>
              <w:rPr>
                <w:rFonts w:ascii="Liberation Sans" w:hAnsi="Liberation Sans"/>
              </w:rPr>
            </w:pPr>
            <w:r>
              <w:rPr>
                <w:rFonts w:ascii="Liberation Sans" w:hAnsi="Liberation Sans"/>
              </w:rPr>
              <w:t>ST: waarvan één Klassieke Homepathie en 2 overig (incl. vrijstelling)</w:t>
            </w:r>
          </w:p>
        </w:tc>
      </w:tr>
      <w:tr w:rsidR="004027D0" w14:paraId="7425C960" w14:textId="77777777">
        <w:tc>
          <w:tcPr>
            <w:tcW w:w="1694" w:type="dxa"/>
            <w:tcBorders>
              <w:left w:val="single" w:sz="4" w:space="0" w:color="000000"/>
              <w:bottom w:val="single" w:sz="4" w:space="0" w:color="000000"/>
            </w:tcBorders>
          </w:tcPr>
          <w:p w14:paraId="3FC84C7F" w14:textId="77777777" w:rsidR="004027D0" w:rsidRDefault="00000000">
            <w:pPr>
              <w:pStyle w:val="Inhoudtabel"/>
              <w:jc w:val="center"/>
            </w:pPr>
            <w:r>
              <w:t>Voorbeeld 2</w:t>
            </w:r>
          </w:p>
        </w:tc>
        <w:tc>
          <w:tcPr>
            <w:tcW w:w="7660" w:type="dxa"/>
            <w:tcBorders>
              <w:left w:val="single" w:sz="4" w:space="0" w:color="000000"/>
              <w:bottom w:val="single" w:sz="4" w:space="0" w:color="000000"/>
              <w:right w:val="single" w:sz="4" w:space="0" w:color="000000"/>
            </w:tcBorders>
          </w:tcPr>
          <w:p w14:paraId="022B6F72" w14:textId="77777777" w:rsidR="004027D0" w:rsidRDefault="00000000">
            <w:pPr>
              <w:pStyle w:val="Inhoudtabel"/>
              <w:rPr>
                <w:rFonts w:ascii="Liberation Sans" w:hAnsi="Liberation Sans"/>
                <w:lang w:val="en-US"/>
              </w:rPr>
            </w:pPr>
            <w:r>
              <w:rPr>
                <w:rFonts w:ascii="Liberation Sans" w:hAnsi="Liberation Sans"/>
                <w:lang w:val="en-US"/>
              </w:rPr>
              <w:t>K = 1, M = 0, O = 1, V = 3: SK = 0, SM = -1, ST = 1</w:t>
            </w:r>
          </w:p>
          <w:p w14:paraId="575F0A95" w14:textId="77777777" w:rsidR="004027D0" w:rsidRDefault="00000000">
            <w:pPr>
              <w:pStyle w:val="Inhoudtabel"/>
              <w:rPr>
                <w:rFonts w:ascii="Liberation Sans" w:hAnsi="Liberation Sans"/>
              </w:rPr>
            </w:pPr>
            <w:r>
              <w:rPr>
                <w:rFonts w:ascii="Liberation Sans" w:hAnsi="Liberation Sans"/>
              </w:rPr>
              <w:t>ST: waarvan 1 overig (incl. vrijstelling).</w:t>
            </w:r>
          </w:p>
        </w:tc>
      </w:tr>
    </w:tbl>
    <w:p w14:paraId="68AB5126" w14:textId="77777777" w:rsidR="004027D0" w:rsidRDefault="00000000">
      <w:pPr>
        <w:pStyle w:val="Kop2"/>
      </w:pPr>
      <w:bookmarkStart w:id="8" w:name="__RefHeading___Toc578_2571674870"/>
      <w:bookmarkEnd w:id="8"/>
      <w:r>
        <w:t>Verdelen over de jaren - methode volgens de norm</w:t>
      </w:r>
    </w:p>
    <w:p w14:paraId="0F550097" w14:textId="77777777" w:rsidR="004027D0" w:rsidRDefault="00000000">
      <w:r>
        <w:t>Nu kan er gecompenseerd worden over de jaren heen. Er kunnen maximaal ‘norm’ dagen (per soort) worden gecompenseerd vanuit het voorgaande jaar en het opvolgende jaar. Als er dus tekorten zijn in een bepaald jaar, dan kunnen deze worden gecompenseerd vanuit het voorgaande en vanuit het opvolgende jaar.</w:t>
      </w:r>
    </w:p>
    <w:p w14:paraId="4B0455E8" w14:textId="77777777" w:rsidR="004027D0" w:rsidRDefault="00000000">
      <w:r>
        <w:t xml:space="preserve">Voorts kunnen er maximaal ‘norm’ dagen (per soort) worden meegenomen naar het opvolgende jaar. </w:t>
      </w:r>
    </w:p>
    <w:p w14:paraId="00606FD7" w14:textId="77777777" w:rsidR="004027D0" w:rsidRDefault="00000000">
      <w:r>
        <w:t>De berekening is nu als volgt:</w:t>
      </w:r>
    </w:p>
    <w:p w14:paraId="0EAF3452" w14:textId="77777777" w:rsidR="004027D0" w:rsidRDefault="00000000">
      <w:pPr>
        <w:pStyle w:val="Kop3"/>
      </w:pPr>
      <w:bookmarkStart w:id="9" w:name="__RefHeading___Toc580_2571674870"/>
      <w:bookmarkEnd w:id="9"/>
      <w:r>
        <w:t>Voorwaarts verdelen</w:t>
      </w:r>
    </w:p>
    <w:p w14:paraId="7276DD84" w14:textId="77777777" w:rsidR="004027D0" w:rsidRDefault="00000000">
      <w:r>
        <w:t xml:space="preserve">Voor een gegeven jaar j: wordt als volgt het aantal dagen doorgegeven vanuit jaar j - 1.  </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714"/>
        <w:gridCol w:w="7751"/>
      </w:tblGrid>
      <w:tr w:rsidR="004027D0" w14:paraId="41E2802A" w14:textId="77777777">
        <w:tc>
          <w:tcPr>
            <w:tcW w:w="1694" w:type="dxa"/>
            <w:tcBorders>
              <w:top w:val="single" w:sz="4" w:space="0" w:color="000000"/>
              <w:left w:val="single" w:sz="4" w:space="0" w:color="000000"/>
              <w:bottom w:val="single" w:sz="4" w:space="0" w:color="000000"/>
            </w:tcBorders>
            <w:shd w:val="clear" w:color="auto" w:fill="DDE8CB"/>
          </w:tcPr>
          <w:p w14:paraId="551D1435" w14:textId="77777777" w:rsidR="004027D0" w:rsidRDefault="00000000">
            <w:pPr>
              <w:pStyle w:val="Inhoudtabel"/>
              <w:keepNext/>
            </w:pPr>
            <w:r>
              <w:rPr>
                <w:b/>
                <w:bCs/>
              </w:rPr>
              <w:lastRenderedPageBreak/>
              <w:t>Soort</w:t>
            </w:r>
          </w:p>
        </w:tc>
        <w:tc>
          <w:tcPr>
            <w:tcW w:w="7660" w:type="dxa"/>
            <w:tcBorders>
              <w:top w:val="single" w:sz="4" w:space="0" w:color="000000"/>
              <w:left w:val="single" w:sz="4" w:space="0" w:color="000000"/>
              <w:bottom w:val="single" w:sz="4" w:space="0" w:color="000000"/>
              <w:right w:val="single" w:sz="4" w:space="0" w:color="000000"/>
            </w:tcBorders>
            <w:shd w:val="clear" w:color="auto" w:fill="DDE8CB"/>
          </w:tcPr>
          <w:p w14:paraId="579D2007" w14:textId="77777777" w:rsidR="004027D0" w:rsidRDefault="00000000">
            <w:pPr>
              <w:pStyle w:val="Inhoudtabel"/>
              <w:keepNext/>
            </w:pPr>
            <w:r>
              <w:rPr>
                <w:b/>
                <w:bCs/>
              </w:rPr>
              <w:t>Berekening doorgeven vorig jaar</w:t>
            </w:r>
          </w:p>
        </w:tc>
      </w:tr>
      <w:tr w:rsidR="004027D0" w14:paraId="35E860FA" w14:textId="77777777">
        <w:tc>
          <w:tcPr>
            <w:tcW w:w="1694" w:type="dxa"/>
            <w:tcBorders>
              <w:left w:val="single" w:sz="4" w:space="0" w:color="000000"/>
              <w:bottom w:val="single" w:sz="4" w:space="0" w:color="000000"/>
            </w:tcBorders>
          </w:tcPr>
          <w:p w14:paraId="295B9A02" w14:textId="77777777" w:rsidR="004027D0" w:rsidRDefault="00000000">
            <w:pPr>
              <w:pStyle w:val="Inhoudtabel"/>
              <w:jc w:val="center"/>
            </w:pPr>
            <w:r>
              <w:t>SK(j)</w:t>
            </w:r>
          </w:p>
        </w:tc>
        <w:tc>
          <w:tcPr>
            <w:tcW w:w="7660" w:type="dxa"/>
            <w:tcBorders>
              <w:left w:val="single" w:sz="4" w:space="0" w:color="000000"/>
              <w:bottom w:val="single" w:sz="4" w:space="0" w:color="000000"/>
              <w:right w:val="single" w:sz="4" w:space="0" w:color="000000"/>
            </w:tcBorders>
          </w:tcPr>
          <w:p w14:paraId="3A3014E5" w14:textId="77777777" w:rsidR="004027D0" w:rsidRDefault="00000000">
            <w:pPr>
              <w:pStyle w:val="Inhoudtabel"/>
              <w:rPr>
                <w:rFonts w:ascii="Liberation Sans" w:hAnsi="Liberation Sans"/>
              </w:rPr>
            </w:pPr>
            <w:r>
              <w:rPr>
                <w:rFonts w:ascii="Liberation Sans" w:eastAsia="DejaVu Sans" w:hAnsi="Liberation Sans" w:cs="DejaVu Sans"/>
                <w:szCs w:val="20"/>
              </w:rPr>
              <w:t>DK = MIN(MAX(MIN(SK(j - 1), ST(j – 1)), 0), NK(j – 1))</w:t>
            </w:r>
          </w:p>
          <w:p w14:paraId="619E6AAF"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ST(j – 1) = ST(j – 1) - DK</w:t>
            </w:r>
          </w:p>
          <w:p w14:paraId="156F9F15"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SK(j) = SK(j) + DK</w:t>
            </w:r>
          </w:p>
          <w:p w14:paraId="7636A47E" w14:textId="77777777" w:rsidR="004027D0" w:rsidRDefault="004027D0">
            <w:pPr>
              <w:pStyle w:val="Inhoudtabel"/>
              <w:rPr>
                <w:i/>
                <w:iCs/>
                <w:lang w:val="en-US"/>
              </w:rPr>
            </w:pPr>
          </w:p>
          <w:p w14:paraId="29517AFF" w14:textId="77777777" w:rsidR="004027D0" w:rsidRDefault="00000000">
            <w:pPr>
              <w:pStyle w:val="Inhoudtabel"/>
              <w:rPr>
                <w:i/>
                <w:iCs/>
              </w:rPr>
            </w:pPr>
            <w:r>
              <w:rPr>
                <w:i/>
                <w:iCs/>
              </w:rPr>
              <w:t>Je kunt niet meer doorgeven aan het opvolgende jaar dan je dagen over hebt in het voorgaande jaar. Dus DK is het minimum van SK(j – 1) en ST(j – 1), indien dat &lt; 0 is, dan kun je 0 dagen doorgeven. En dan moet je maximeren op de Norm. Vervolgens moet het saldo van het totaal van vorig jaar wel worden verminderd met wat er bij dit jaar is gerekend.</w:t>
            </w:r>
          </w:p>
        </w:tc>
      </w:tr>
      <w:tr w:rsidR="004027D0" w14:paraId="662A64F3" w14:textId="77777777">
        <w:tc>
          <w:tcPr>
            <w:tcW w:w="1694" w:type="dxa"/>
            <w:tcBorders>
              <w:left w:val="single" w:sz="4" w:space="0" w:color="000000"/>
              <w:bottom w:val="single" w:sz="4" w:space="0" w:color="000000"/>
            </w:tcBorders>
          </w:tcPr>
          <w:p w14:paraId="2EDD3694" w14:textId="77777777" w:rsidR="004027D0" w:rsidRDefault="00000000">
            <w:pPr>
              <w:pStyle w:val="Inhoudtabel"/>
              <w:jc w:val="center"/>
            </w:pPr>
            <w:r>
              <w:t>SM(j)</w:t>
            </w:r>
          </w:p>
        </w:tc>
        <w:tc>
          <w:tcPr>
            <w:tcW w:w="7660" w:type="dxa"/>
            <w:tcBorders>
              <w:left w:val="single" w:sz="4" w:space="0" w:color="000000"/>
              <w:bottom w:val="single" w:sz="4" w:space="0" w:color="000000"/>
              <w:right w:val="single" w:sz="4" w:space="0" w:color="000000"/>
            </w:tcBorders>
          </w:tcPr>
          <w:p w14:paraId="7783AAD9" w14:textId="77777777" w:rsidR="004027D0" w:rsidRDefault="00000000">
            <w:pPr>
              <w:pStyle w:val="Inhoudtabel"/>
              <w:rPr>
                <w:rFonts w:ascii="Liberation Sans" w:hAnsi="Liberation Sans"/>
                <w:lang w:val="en-US"/>
              </w:rPr>
            </w:pPr>
            <w:r>
              <w:rPr>
                <w:rFonts w:ascii="Liberation Sans" w:hAnsi="Liberation Sans"/>
                <w:lang w:val="en-US"/>
              </w:rPr>
              <w:t>DM = MIN(MAX(MIN(SM(j – 1), ST(j – 1)), 0), NM(j – 1))</w:t>
            </w:r>
          </w:p>
          <w:p w14:paraId="113E33EE" w14:textId="77777777" w:rsidR="004027D0" w:rsidRDefault="00000000">
            <w:pPr>
              <w:pStyle w:val="Inhoudtabel"/>
              <w:rPr>
                <w:rFonts w:ascii="Liberation Sans" w:hAnsi="Liberation Sans"/>
                <w:lang w:val="en-US"/>
              </w:rPr>
            </w:pPr>
            <w:r>
              <w:rPr>
                <w:rFonts w:ascii="Liberation Sans" w:hAnsi="Liberation Sans"/>
                <w:lang w:val="en-US"/>
              </w:rPr>
              <w:t>ST(j – 1) = ST(j – 1) - DM</w:t>
            </w:r>
          </w:p>
          <w:p w14:paraId="1A5AF6EC" w14:textId="77777777" w:rsidR="004027D0" w:rsidRDefault="00000000">
            <w:pPr>
              <w:pStyle w:val="Inhoudtabel"/>
              <w:rPr>
                <w:rFonts w:ascii="Liberation Sans" w:hAnsi="Liberation Sans"/>
              </w:rPr>
            </w:pPr>
            <w:r>
              <w:rPr>
                <w:rFonts w:ascii="Liberation Sans" w:hAnsi="Liberation Sans"/>
              </w:rPr>
              <w:t>SM(j) = SM(j) + DM</w:t>
            </w:r>
          </w:p>
          <w:p w14:paraId="2EBF7DD3" w14:textId="77777777" w:rsidR="004027D0" w:rsidRDefault="004027D0">
            <w:pPr>
              <w:pStyle w:val="Inhoudtabel"/>
              <w:rPr>
                <w:rFonts w:ascii="Liberation Sans" w:hAnsi="Liberation Sans"/>
              </w:rPr>
            </w:pPr>
          </w:p>
          <w:p w14:paraId="034AC313" w14:textId="77777777" w:rsidR="004027D0" w:rsidRDefault="00000000">
            <w:pPr>
              <w:pStyle w:val="Inhoudtabel"/>
              <w:rPr>
                <w:rFonts w:ascii="Liberation Sans" w:hAnsi="Liberation Sans"/>
                <w:i/>
                <w:iCs/>
              </w:rPr>
            </w:pPr>
            <w:r>
              <w:rPr>
                <w:rFonts w:ascii="Liberation Sans" w:hAnsi="Liberation Sans"/>
                <w:i/>
                <w:iCs/>
              </w:rPr>
              <w:t>Idem voor medisch.</w:t>
            </w:r>
          </w:p>
        </w:tc>
      </w:tr>
      <w:tr w:rsidR="004027D0" w14:paraId="256ADD18" w14:textId="77777777">
        <w:tc>
          <w:tcPr>
            <w:tcW w:w="1694" w:type="dxa"/>
            <w:tcBorders>
              <w:left w:val="single" w:sz="4" w:space="0" w:color="000000"/>
              <w:bottom w:val="single" w:sz="4" w:space="0" w:color="000000"/>
            </w:tcBorders>
          </w:tcPr>
          <w:p w14:paraId="036FAF33" w14:textId="77777777" w:rsidR="004027D0" w:rsidRDefault="00000000">
            <w:pPr>
              <w:pStyle w:val="Inhoudtabel"/>
              <w:jc w:val="center"/>
            </w:pPr>
            <w:r>
              <w:t>ST(j)</w:t>
            </w:r>
          </w:p>
        </w:tc>
        <w:tc>
          <w:tcPr>
            <w:tcW w:w="7660" w:type="dxa"/>
            <w:tcBorders>
              <w:left w:val="single" w:sz="4" w:space="0" w:color="000000"/>
              <w:bottom w:val="single" w:sz="4" w:space="0" w:color="000000"/>
              <w:right w:val="single" w:sz="4" w:space="0" w:color="000000"/>
            </w:tcBorders>
          </w:tcPr>
          <w:p w14:paraId="6EA0F7BD" w14:textId="77777777" w:rsidR="004027D0" w:rsidRDefault="00000000">
            <w:pPr>
              <w:pStyle w:val="Inhoudtabel"/>
              <w:rPr>
                <w:rFonts w:ascii="Liberation Sans" w:hAnsi="Liberation Sans"/>
                <w:lang w:val="en-US"/>
              </w:rPr>
            </w:pPr>
            <w:r>
              <w:rPr>
                <w:rFonts w:ascii="Liberation Sans" w:hAnsi="Liberation Sans"/>
                <w:lang w:val="en-US"/>
              </w:rPr>
              <w:t>DT = MIN(MAX(ST(j – 1), 0), NT(j – 1))</w:t>
            </w:r>
          </w:p>
          <w:p w14:paraId="304D010D" w14:textId="77777777" w:rsidR="004027D0" w:rsidRDefault="00000000">
            <w:pPr>
              <w:pStyle w:val="Inhoudtabel"/>
              <w:rPr>
                <w:rFonts w:ascii="Liberation Sans" w:hAnsi="Liberation Sans"/>
                <w:lang w:val="en-US"/>
              </w:rPr>
            </w:pPr>
            <w:r>
              <w:rPr>
                <w:rFonts w:ascii="Liberation Sans" w:hAnsi="Liberation Sans"/>
                <w:lang w:val="en-US"/>
              </w:rPr>
              <w:t>ST(j – 1) = ST(j – 1) – DT</w:t>
            </w:r>
          </w:p>
          <w:p w14:paraId="152E1F13" w14:textId="77777777" w:rsidR="004027D0" w:rsidRDefault="00000000">
            <w:pPr>
              <w:pStyle w:val="Inhoudtabel"/>
              <w:rPr>
                <w:rFonts w:ascii="Liberation Sans" w:hAnsi="Liberation Sans"/>
              </w:rPr>
            </w:pPr>
            <w:r>
              <w:rPr>
                <w:rFonts w:ascii="Liberation Sans" w:hAnsi="Liberation Sans"/>
              </w:rPr>
              <w:t>ST(j) = ST(j) + DT</w:t>
            </w:r>
          </w:p>
        </w:tc>
      </w:tr>
    </w:tbl>
    <w:p w14:paraId="0FB0963F" w14:textId="77777777" w:rsidR="004027D0" w:rsidRDefault="00000000">
      <w:pPr>
        <w:pStyle w:val="Kop3"/>
      </w:pPr>
      <w:bookmarkStart w:id="10" w:name="__RefHeading___Toc582_2571674870"/>
      <w:bookmarkEnd w:id="10"/>
      <w:r>
        <w:t>Terugwaarts verdelen</w:t>
      </w:r>
    </w:p>
    <w:p w14:paraId="0480AF07" w14:textId="77777777" w:rsidR="004027D0" w:rsidRDefault="00000000">
      <w:r>
        <w:rPr>
          <w:i/>
          <w:iCs/>
        </w:rPr>
        <w:t xml:space="preserve">NB. Dit deel van de berekening wordt pas vanaf 2020 uitgevoerd. Daarvoor werd alleen voorwaarts verdeeld. </w:t>
      </w:r>
    </w:p>
    <w:p w14:paraId="57C7659A" w14:textId="77777777" w:rsidR="004027D0" w:rsidRDefault="00000000">
      <w:r>
        <w:t>Nu kan het zijn dat er nog moet worden gecompenseerd vanuit het opvolgende jaar. Dus terugwerkend. Dat kan alleen als het saldo toereikend is, maar dat saldo zal eventueel ook weer vanuit het huidige jaar worden gecompenseerd. Dat is een lastige berekening.</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714"/>
        <w:gridCol w:w="7751"/>
      </w:tblGrid>
      <w:tr w:rsidR="004027D0" w14:paraId="20FA74FC" w14:textId="77777777">
        <w:tc>
          <w:tcPr>
            <w:tcW w:w="1694" w:type="dxa"/>
            <w:tcBorders>
              <w:top w:val="single" w:sz="4" w:space="0" w:color="000000"/>
              <w:left w:val="single" w:sz="4" w:space="0" w:color="000000"/>
              <w:bottom w:val="single" w:sz="4" w:space="0" w:color="000000"/>
            </w:tcBorders>
            <w:shd w:val="clear" w:color="auto" w:fill="DDE8CB"/>
          </w:tcPr>
          <w:p w14:paraId="1791986B" w14:textId="77777777" w:rsidR="004027D0" w:rsidRDefault="00000000">
            <w:pPr>
              <w:pStyle w:val="Inhoudtabel"/>
              <w:keepNext/>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val="clear" w:color="auto" w:fill="DDE8CB"/>
          </w:tcPr>
          <w:p w14:paraId="479101AF" w14:textId="77777777" w:rsidR="004027D0" w:rsidRDefault="00000000">
            <w:pPr>
              <w:pStyle w:val="Inhoudtabel"/>
              <w:keepNext/>
            </w:pPr>
            <w:r>
              <w:rPr>
                <w:b/>
                <w:bCs/>
              </w:rPr>
              <w:t>Compenseren vanuit het opvolgende jaar.</w:t>
            </w:r>
          </w:p>
        </w:tc>
      </w:tr>
      <w:tr w:rsidR="004027D0" w14:paraId="69BBDD6F" w14:textId="77777777">
        <w:tc>
          <w:tcPr>
            <w:tcW w:w="1694" w:type="dxa"/>
            <w:tcBorders>
              <w:left w:val="single" w:sz="4" w:space="0" w:color="000000"/>
              <w:bottom w:val="single" w:sz="4" w:space="0" w:color="000000"/>
            </w:tcBorders>
          </w:tcPr>
          <w:p w14:paraId="4366BC4A" w14:textId="77777777" w:rsidR="004027D0" w:rsidRDefault="00000000">
            <w:pPr>
              <w:pStyle w:val="Inhoudtabel"/>
              <w:jc w:val="center"/>
            </w:pPr>
            <w:r>
              <w:t>SK(j)</w:t>
            </w:r>
          </w:p>
        </w:tc>
        <w:tc>
          <w:tcPr>
            <w:tcW w:w="7660" w:type="dxa"/>
            <w:tcBorders>
              <w:left w:val="single" w:sz="4" w:space="0" w:color="000000"/>
              <w:bottom w:val="single" w:sz="4" w:space="0" w:color="000000"/>
              <w:right w:val="single" w:sz="4" w:space="0" w:color="000000"/>
            </w:tcBorders>
          </w:tcPr>
          <w:p w14:paraId="57524D6E" w14:textId="77777777" w:rsidR="004027D0" w:rsidRDefault="00000000">
            <w:pPr>
              <w:pStyle w:val="Inhoudtabel"/>
            </w:pPr>
            <w:r>
              <w:t>DT(j) = MIN(ST(j), NT(j))</w:t>
            </w:r>
          </w:p>
          <w:p w14:paraId="0B715A0B" w14:textId="77777777" w:rsidR="004027D0" w:rsidRDefault="00000000">
            <w:pPr>
              <w:pStyle w:val="Inhoudtabel"/>
            </w:pPr>
            <w:r>
              <w:t xml:space="preserve">Indien (SK(j) &lt; 0) </w:t>
            </w:r>
            <w:r>
              <w:rPr>
                <w:rFonts w:ascii="Liberation Sans" w:eastAsia="DejaVu Sans" w:hAnsi="Liberation Sans" w:cs="DejaVu Sans"/>
                <w:szCs w:val="20"/>
              </w:rPr>
              <w:t>⋀</w:t>
            </w:r>
            <w:r>
              <w:t xml:space="preserve"> (ST(j + 1) + DT(j) &gt; 0) </w:t>
            </w:r>
            <w:r>
              <w:rPr>
                <w:rFonts w:ascii="Liberation Sans" w:eastAsia="DejaVu Sans" w:hAnsi="Liberation Sans" w:cs="DejaVu Sans"/>
                <w:szCs w:val="20"/>
              </w:rPr>
              <w:t>⋀ SK(j + 1) &gt; 0</w:t>
            </w:r>
          </w:p>
          <w:p w14:paraId="16980CC0" w14:textId="77777777" w:rsidR="004027D0" w:rsidRDefault="00000000">
            <w:pPr>
              <w:pStyle w:val="Inhoudtabel"/>
            </w:pPr>
            <w:r>
              <w:rPr>
                <w:rFonts w:ascii="Liberation Sans" w:eastAsia="DejaVu Sans" w:hAnsi="Liberation Sans" w:cs="DejaVu Sans"/>
                <w:szCs w:val="20"/>
              </w:rPr>
              <w:t>C = MIN(-SK(j), MIN(SK(j + 1), ST(j + 1) + DT(j)))</w:t>
            </w:r>
          </w:p>
          <w:p w14:paraId="622DD06E" w14:textId="77777777" w:rsidR="004027D0" w:rsidRDefault="00000000">
            <w:pPr>
              <w:pStyle w:val="Inhoudtabel"/>
              <w:rPr>
                <w:lang w:val="en-US"/>
              </w:rPr>
            </w:pPr>
            <w:r>
              <w:rPr>
                <w:rFonts w:ascii="Liberation Sans" w:eastAsia="DejaVu Sans" w:hAnsi="Liberation Sans" w:cs="DejaVu Sans"/>
                <w:szCs w:val="20"/>
                <w:lang w:val="en-US"/>
              </w:rPr>
              <w:t>SK(j) += C</w:t>
            </w:r>
          </w:p>
          <w:p w14:paraId="12A1EC06" w14:textId="77777777" w:rsidR="004027D0" w:rsidRDefault="00000000">
            <w:pPr>
              <w:pStyle w:val="Inhoudtabel"/>
              <w:rPr>
                <w:lang w:val="en-US"/>
              </w:rPr>
            </w:pPr>
            <w:r>
              <w:rPr>
                <w:rFonts w:ascii="Liberation Sans" w:eastAsia="DejaVu Sans" w:hAnsi="Liberation Sans" w:cs="DejaVu Sans"/>
                <w:szCs w:val="20"/>
                <w:lang w:val="en-US"/>
              </w:rPr>
              <w:t>SK(j + 1) -= C</w:t>
            </w:r>
          </w:p>
          <w:p w14:paraId="68E85069" w14:textId="77777777" w:rsidR="004027D0" w:rsidRDefault="00000000">
            <w:pPr>
              <w:pStyle w:val="Inhoudtabel"/>
              <w:rPr>
                <w:lang w:val="en-US"/>
              </w:rPr>
            </w:pPr>
            <w:r>
              <w:rPr>
                <w:rFonts w:ascii="Liberation Sans" w:eastAsia="DejaVu Sans" w:hAnsi="Liberation Sans" w:cs="DejaVu Sans"/>
                <w:szCs w:val="20"/>
                <w:lang w:val="en-US"/>
              </w:rPr>
              <w:t>ST(j) += C</w:t>
            </w:r>
          </w:p>
          <w:p w14:paraId="3361A8C2" w14:textId="77777777" w:rsidR="004027D0" w:rsidRDefault="00000000">
            <w:pPr>
              <w:pStyle w:val="Inhoudtabel"/>
            </w:pPr>
            <w:r>
              <w:rPr>
                <w:rFonts w:ascii="Liberation Sans" w:eastAsia="DejaVu Sans" w:hAnsi="Liberation Sans" w:cs="DejaVu Sans"/>
                <w:szCs w:val="20"/>
              </w:rPr>
              <w:t>ST(j + 1) -= C</w:t>
            </w:r>
          </w:p>
          <w:p w14:paraId="4493E16F" w14:textId="77777777" w:rsidR="004027D0" w:rsidRDefault="004027D0">
            <w:pPr>
              <w:pStyle w:val="Inhoudtabel"/>
              <w:rPr>
                <w:rFonts w:ascii="Liberation Sans" w:eastAsia="DejaVu Sans" w:hAnsi="Liberation Sans" w:cs="DejaVu Sans"/>
                <w:szCs w:val="20"/>
              </w:rPr>
            </w:pPr>
          </w:p>
          <w:p w14:paraId="783C39AF" w14:textId="77777777" w:rsidR="004027D0" w:rsidRDefault="00000000">
            <w:pPr>
              <w:pStyle w:val="Inhoudtabel"/>
              <w:rPr>
                <w:i/>
                <w:iCs/>
              </w:rPr>
            </w:pPr>
            <w:r>
              <w:rPr>
                <w:rFonts w:ascii="Liberation Sans" w:eastAsia="DejaVu Sans" w:hAnsi="Liberation Sans" w:cs="DejaVu Sans"/>
                <w:i/>
                <w:iCs/>
                <w:szCs w:val="20"/>
              </w:rPr>
              <w:t>Allereerst wordt bepaald wat en of er een overschot of tekort is voor het huidige jaar in zijn totaliteit (DT), gemaximeerd op de norm totaal. Om aan de norm te voldoen zal er nooit meer dan de norm van Klassieke homeopathie worden gecompenseerd, dus daar hoeven we niet naar te kijken.</w:t>
            </w:r>
          </w:p>
          <w:p w14:paraId="397DF106" w14:textId="77777777" w:rsidR="004027D0" w:rsidRDefault="004027D0">
            <w:pPr>
              <w:pStyle w:val="Inhoudtabel"/>
              <w:rPr>
                <w:rFonts w:ascii="Liberation Sans" w:eastAsia="DejaVu Sans" w:hAnsi="Liberation Sans" w:cs="DejaVu Sans"/>
                <w:szCs w:val="20"/>
              </w:rPr>
            </w:pPr>
          </w:p>
          <w:p w14:paraId="2F945629" w14:textId="77777777" w:rsidR="004027D0" w:rsidRDefault="00000000">
            <w:pPr>
              <w:pStyle w:val="Inhoudtabel"/>
              <w:rPr>
                <w:i/>
                <w:iCs/>
              </w:rPr>
            </w:pPr>
            <w:r>
              <w:rPr>
                <w:rFonts w:ascii="Liberation Sans" w:eastAsia="DejaVu Sans" w:hAnsi="Liberation Sans" w:cs="DejaVu Sans"/>
                <w:i/>
                <w:iCs/>
                <w:szCs w:val="20"/>
              </w:rPr>
              <w:t>Daarna wordt er gekeken of na verdeling vanuit het vorig jaar, het huidige saldo klassiek homeopathie nog steeds negatief is.</w:t>
            </w:r>
          </w:p>
          <w:p w14:paraId="68BA3AB5" w14:textId="77777777" w:rsidR="004027D0" w:rsidRDefault="004027D0">
            <w:pPr>
              <w:pStyle w:val="Inhoudtabel"/>
              <w:rPr>
                <w:rFonts w:ascii="Liberation Sans" w:eastAsia="DejaVu Sans" w:hAnsi="Liberation Sans" w:cs="DejaVu Sans"/>
                <w:szCs w:val="20"/>
              </w:rPr>
            </w:pPr>
          </w:p>
          <w:p w14:paraId="4B6B2D76" w14:textId="77777777" w:rsidR="004027D0" w:rsidRDefault="00000000">
            <w:pPr>
              <w:pStyle w:val="Inhoudtabel"/>
              <w:rPr>
                <w:i/>
                <w:iCs/>
              </w:rPr>
            </w:pPr>
            <w:r>
              <w:rPr>
                <w:rFonts w:ascii="Liberation Sans" w:eastAsia="DejaVu Sans" w:hAnsi="Liberation Sans" w:cs="DejaVu Sans"/>
                <w:i/>
                <w:iCs/>
                <w:szCs w:val="20"/>
              </w:rPr>
              <w:t>Zo ja, als dan het saldo klassiek homeopathie voor het opvolgende jaar positief is en het totaal saldo + het overschot/tekort totaal is positief, dan kun je compenseren. De compensatie, C, wordt berekend en opgeteld bij SK en ST voor het huidige jaar en afgetrokken van die van het jaar erop.</w:t>
            </w:r>
          </w:p>
        </w:tc>
      </w:tr>
      <w:tr w:rsidR="004027D0" w14:paraId="080E7F45" w14:textId="77777777">
        <w:tc>
          <w:tcPr>
            <w:tcW w:w="1694" w:type="dxa"/>
            <w:tcBorders>
              <w:left w:val="single" w:sz="4" w:space="0" w:color="000000"/>
              <w:bottom w:val="single" w:sz="4" w:space="0" w:color="000000"/>
            </w:tcBorders>
          </w:tcPr>
          <w:p w14:paraId="672AD5CC" w14:textId="77777777" w:rsidR="004027D0" w:rsidRDefault="00000000">
            <w:pPr>
              <w:pStyle w:val="Inhoudtabel"/>
              <w:jc w:val="center"/>
            </w:pPr>
            <w:r>
              <w:t>SM(j)</w:t>
            </w:r>
          </w:p>
        </w:tc>
        <w:tc>
          <w:tcPr>
            <w:tcW w:w="7660" w:type="dxa"/>
            <w:tcBorders>
              <w:left w:val="single" w:sz="4" w:space="0" w:color="000000"/>
              <w:bottom w:val="single" w:sz="4" w:space="0" w:color="000000"/>
              <w:right w:val="single" w:sz="4" w:space="0" w:color="000000"/>
            </w:tcBorders>
          </w:tcPr>
          <w:p w14:paraId="7158D137" w14:textId="77777777" w:rsidR="004027D0" w:rsidRDefault="00000000">
            <w:pPr>
              <w:pStyle w:val="Inhoudtabel"/>
              <w:rPr>
                <w:rFonts w:ascii="Liberation Sans" w:hAnsi="Liberation Sans"/>
              </w:rPr>
            </w:pPr>
            <w:r>
              <w:rPr>
                <w:rFonts w:ascii="Liberation Sans" w:hAnsi="Liberation Sans"/>
              </w:rPr>
              <w:t>DT(j) = MIN(ST(j), NT(j))</w:t>
            </w:r>
          </w:p>
          <w:p w14:paraId="775F3093" w14:textId="77777777" w:rsidR="004027D0" w:rsidRDefault="00000000">
            <w:pPr>
              <w:pStyle w:val="Inhoudtabel"/>
              <w:rPr>
                <w:rFonts w:ascii="Liberation Sans" w:hAnsi="Liberation Sans"/>
              </w:rPr>
            </w:pPr>
            <w:r>
              <w:rPr>
                <w:rFonts w:ascii="Liberation Sans" w:hAnsi="Liberation Sans"/>
              </w:rPr>
              <w:t xml:space="preserve">Indien (SM(j) &lt; 0) </w:t>
            </w:r>
            <w:r>
              <w:rPr>
                <w:rFonts w:ascii="Liberation Sans" w:eastAsia="DejaVu Sans" w:hAnsi="Liberation Sans" w:cs="DejaVu Sans"/>
                <w:szCs w:val="20"/>
              </w:rPr>
              <w:t>⋀ (ST(j + 1) + DT(j)) &gt; 0 ⋀ SM(j + 1) &gt; 0</w:t>
            </w:r>
          </w:p>
          <w:p w14:paraId="19D77283" w14:textId="77777777" w:rsidR="004027D0" w:rsidRDefault="00000000">
            <w:pPr>
              <w:pStyle w:val="Inhoudtabel"/>
              <w:rPr>
                <w:rFonts w:ascii="Liberation Sans" w:hAnsi="Liberation Sans"/>
              </w:rPr>
            </w:pPr>
            <w:r>
              <w:rPr>
                <w:rFonts w:ascii="Liberation Sans" w:eastAsia="DejaVu Sans" w:hAnsi="Liberation Sans" w:cs="DejaVu Sans"/>
                <w:szCs w:val="20"/>
              </w:rPr>
              <w:lastRenderedPageBreak/>
              <w:t>C = MIN(-SM(j), MIN(SM(j + 1), ST(j + 1) + DT(j)))</w:t>
            </w:r>
          </w:p>
          <w:p w14:paraId="7950CFD9"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SM(j) += C</w:t>
            </w:r>
          </w:p>
          <w:p w14:paraId="2C42A3E1"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SM(j + 1) -= C</w:t>
            </w:r>
          </w:p>
          <w:p w14:paraId="1395C5E2"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ST(j + 1) -= C</w:t>
            </w:r>
          </w:p>
          <w:p w14:paraId="73D52C17" w14:textId="77777777" w:rsidR="004027D0" w:rsidRDefault="004027D0">
            <w:pPr>
              <w:pStyle w:val="Inhoudtabel"/>
              <w:rPr>
                <w:rFonts w:eastAsia="DejaVu Sans" w:cs="DejaVu Sans"/>
                <w:szCs w:val="20"/>
                <w:lang w:val="en-US"/>
              </w:rPr>
            </w:pPr>
          </w:p>
          <w:p w14:paraId="54096903" w14:textId="77777777" w:rsidR="004027D0" w:rsidRDefault="00000000">
            <w:pPr>
              <w:pStyle w:val="Inhoudtabel"/>
              <w:rPr>
                <w:rFonts w:ascii="Liberation Sans" w:hAnsi="Liberation Sans"/>
                <w:i/>
                <w:iCs/>
              </w:rPr>
            </w:pPr>
            <w:r>
              <w:rPr>
                <w:rFonts w:ascii="Liberation Sans" w:eastAsia="DejaVu Sans" w:hAnsi="Liberation Sans" w:cs="DejaVu Sans"/>
                <w:i/>
                <w:iCs/>
                <w:szCs w:val="20"/>
              </w:rPr>
              <w:t>Idem voor Medisch.</w:t>
            </w:r>
          </w:p>
        </w:tc>
      </w:tr>
      <w:tr w:rsidR="004027D0" w14:paraId="0D97031F" w14:textId="77777777">
        <w:tc>
          <w:tcPr>
            <w:tcW w:w="1694" w:type="dxa"/>
            <w:tcBorders>
              <w:left w:val="single" w:sz="4" w:space="0" w:color="000000"/>
              <w:bottom w:val="single" w:sz="4" w:space="0" w:color="000000"/>
            </w:tcBorders>
          </w:tcPr>
          <w:p w14:paraId="2F35321D" w14:textId="77777777" w:rsidR="004027D0" w:rsidRDefault="00000000">
            <w:pPr>
              <w:pStyle w:val="Inhoudtabel"/>
              <w:jc w:val="center"/>
            </w:pPr>
            <w:r>
              <w:lastRenderedPageBreak/>
              <w:t>ST(j)</w:t>
            </w:r>
          </w:p>
        </w:tc>
        <w:tc>
          <w:tcPr>
            <w:tcW w:w="7660" w:type="dxa"/>
            <w:tcBorders>
              <w:left w:val="single" w:sz="4" w:space="0" w:color="000000"/>
              <w:bottom w:val="single" w:sz="4" w:space="0" w:color="000000"/>
              <w:right w:val="single" w:sz="4" w:space="0" w:color="000000"/>
            </w:tcBorders>
          </w:tcPr>
          <w:p w14:paraId="26D05748" w14:textId="77777777" w:rsidR="004027D0" w:rsidRDefault="00000000">
            <w:pPr>
              <w:pStyle w:val="Inhoudtabel"/>
              <w:rPr>
                <w:rFonts w:ascii="Liberation Sans" w:hAnsi="Liberation Sans"/>
                <w:lang w:val="en-US"/>
              </w:rPr>
            </w:pPr>
            <w:r>
              <w:rPr>
                <w:rFonts w:ascii="Liberation Sans" w:hAnsi="Liberation Sans"/>
                <w:lang w:val="en-US"/>
              </w:rPr>
              <w:t>Indien ST(j) &lt; 0</w:t>
            </w:r>
          </w:p>
          <w:p w14:paraId="21B12958" w14:textId="77777777" w:rsidR="004027D0" w:rsidRDefault="00000000">
            <w:pPr>
              <w:pStyle w:val="Inhoudtabel"/>
              <w:rPr>
                <w:rFonts w:ascii="Liberation Sans" w:hAnsi="Liberation Sans"/>
                <w:lang w:val="en-US"/>
              </w:rPr>
            </w:pPr>
            <w:r>
              <w:rPr>
                <w:rFonts w:ascii="Liberation Sans" w:eastAsia="DejaVu Sans" w:hAnsi="Liberation Sans" w:cs="DejaVu Sans"/>
                <w:szCs w:val="20"/>
                <w:lang w:val="en-US"/>
              </w:rPr>
              <w:t>C = MIN(-ST(j), ST(j + 1))</w:t>
            </w:r>
          </w:p>
          <w:p w14:paraId="248BD3B0" w14:textId="77777777" w:rsidR="004027D0" w:rsidRDefault="00000000">
            <w:pPr>
              <w:pStyle w:val="Inhoudtabel"/>
              <w:rPr>
                <w:rFonts w:ascii="Liberation Sans" w:hAnsi="Liberation Sans"/>
              </w:rPr>
            </w:pPr>
            <w:r>
              <w:rPr>
                <w:rFonts w:ascii="Liberation Sans" w:eastAsia="DejaVu Sans" w:hAnsi="Liberation Sans" w:cs="DejaVu Sans"/>
                <w:szCs w:val="20"/>
              </w:rPr>
              <w:t>ST(j) += C</w:t>
            </w:r>
          </w:p>
          <w:p w14:paraId="2344BBB0" w14:textId="77777777" w:rsidR="004027D0" w:rsidRDefault="00000000">
            <w:pPr>
              <w:pStyle w:val="Inhoudtabel"/>
              <w:rPr>
                <w:rFonts w:ascii="Liberation Sans" w:hAnsi="Liberation Sans"/>
              </w:rPr>
            </w:pPr>
            <w:r>
              <w:rPr>
                <w:rFonts w:ascii="Liberation Sans" w:eastAsia="DejaVu Sans" w:hAnsi="Liberation Sans" w:cs="DejaVu Sans"/>
                <w:szCs w:val="20"/>
              </w:rPr>
              <w:t>ST(j + 1) -= C</w:t>
            </w:r>
          </w:p>
          <w:p w14:paraId="1EE123FC" w14:textId="77777777" w:rsidR="004027D0" w:rsidRDefault="004027D0">
            <w:pPr>
              <w:pStyle w:val="Inhoudtabel"/>
              <w:rPr>
                <w:rFonts w:ascii="Liberation Sans" w:hAnsi="Liberation Sans"/>
              </w:rPr>
            </w:pPr>
          </w:p>
          <w:p w14:paraId="3E2E343E" w14:textId="77777777" w:rsidR="004027D0" w:rsidRDefault="00000000">
            <w:pPr>
              <w:pStyle w:val="Inhoudtabel"/>
              <w:rPr>
                <w:rFonts w:ascii="Liberation Sans" w:hAnsi="Liberation Sans"/>
                <w:i/>
                <w:iCs/>
              </w:rPr>
            </w:pPr>
            <w:r>
              <w:rPr>
                <w:rFonts w:ascii="Liberation Sans" w:hAnsi="Liberation Sans"/>
                <w:i/>
                <w:iCs/>
              </w:rPr>
              <w:t>Nu zijn we aan het eind gekomen. Kijk of er een tekort is op het totaal. Zo ja, kijk dan wat er te compenseren valt en compenseer dat.</w:t>
            </w:r>
          </w:p>
        </w:tc>
      </w:tr>
    </w:tbl>
    <w:p w14:paraId="755F7282" w14:textId="77777777" w:rsidR="004027D0" w:rsidRDefault="00000000">
      <w:r>
        <w:br/>
      </w:r>
      <w:r>
        <w:rPr>
          <w:rFonts w:ascii="Liberation Sans" w:hAnsi="Liberation Sans"/>
        </w:rPr>
        <w:t xml:space="preserve">Er wordt altijd gecompenseerd, ook als dat onvoldoende oplevert. </w:t>
      </w:r>
    </w:p>
    <w:p w14:paraId="69B8D28B" w14:textId="77777777" w:rsidR="004027D0" w:rsidRDefault="00000000">
      <w:pPr>
        <w:rPr>
          <w:rFonts w:ascii="Liberation Sans" w:hAnsi="Liberation Sans"/>
        </w:rPr>
      </w:pPr>
      <w:r>
        <w:rPr>
          <w:rFonts w:ascii="Liberation Sans" w:hAnsi="Liberation Sans"/>
        </w:rPr>
        <w:t>Wat er gebruikt is om te compenseren vanuit het opvolgende jaar naar het huidige jaar, kan niet meer worden gebruikt voor het compenseren van het opvolgende jaar naar het jaar dáárop.</w:t>
      </w:r>
    </w:p>
    <w:p w14:paraId="72721F4C" w14:textId="77777777" w:rsidR="004027D0" w:rsidRDefault="00000000">
      <w:pPr>
        <w:pStyle w:val="Kop2"/>
        <w:rPr>
          <w:rFonts w:ascii="Liberation Sans" w:hAnsi="Liberation Sans"/>
        </w:rPr>
      </w:pPr>
      <w:bookmarkStart w:id="11" w:name="__RefHeading___Toc584_2571674870"/>
      <w:bookmarkEnd w:id="11"/>
      <w:r>
        <w:t>Verdelen over de jaren – alternatieve methode</w:t>
      </w:r>
    </w:p>
    <w:p w14:paraId="1F2789AB" w14:textId="77777777" w:rsidR="004027D0" w:rsidRDefault="00000000">
      <w:pPr>
        <w:pStyle w:val="Kop3"/>
        <w:rPr>
          <w:rFonts w:ascii="Liberation Sans" w:hAnsi="Liberation Sans"/>
        </w:rPr>
      </w:pPr>
      <w:bookmarkStart w:id="12" w:name="__RefHeading___Toc586_2571674870"/>
      <w:bookmarkEnd w:id="12"/>
      <w:r>
        <w:t>Problemen in de praktijk met verdelen volgens de norm</w:t>
      </w:r>
    </w:p>
    <w:p w14:paraId="4AD91DB1" w14:textId="77777777" w:rsidR="004027D0" w:rsidRDefault="00000000">
      <w:pPr>
        <w:rPr>
          <w:rFonts w:ascii="Liberation Sans" w:hAnsi="Liberation Sans"/>
        </w:rPr>
      </w:pPr>
      <w:r>
        <w:rPr>
          <w:rFonts w:ascii="Liberation Sans" w:hAnsi="Liberation Sans"/>
        </w:rPr>
        <w:t xml:space="preserve">De methode waarbij voorwaarts en terugwaarts wordt verdeeld blijkt in de praktijk tot problemen te leiden. </w:t>
      </w:r>
    </w:p>
    <w:p w14:paraId="0654EE77" w14:textId="77777777" w:rsidR="004027D0" w:rsidRDefault="00000000">
      <w:pPr>
        <w:pStyle w:val="Lijstalinea"/>
        <w:numPr>
          <w:ilvl w:val="0"/>
          <w:numId w:val="12"/>
        </w:numPr>
      </w:pPr>
      <w:r>
        <w:rPr>
          <w:rFonts w:ascii="Liberation Sans" w:hAnsi="Liberation Sans"/>
        </w:rPr>
        <w:t xml:space="preserve">De berekening is voor mensen moeilijk te begrijpen. Het is bijna onnavolgbaar wat er gebeurt bij het terugwaarts verdelen. Je kunt niet meer simpel “doortellen”. Als gevolg hiervan is er veel aandacht besteed aan het uitleggen hoe de verdeling heeft plaatsgevonden. </w:t>
      </w:r>
      <w:r>
        <w:rPr>
          <w:rFonts w:ascii="Liberation Sans" w:hAnsi="Liberation Sans"/>
        </w:rPr>
        <w:br/>
      </w:r>
    </w:p>
    <w:p w14:paraId="034CF292" w14:textId="77777777" w:rsidR="004027D0" w:rsidRDefault="00000000">
      <w:pPr>
        <w:pStyle w:val="Lijstalinea"/>
        <w:numPr>
          <w:ilvl w:val="0"/>
          <w:numId w:val="12"/>
        </w:numPr>
      </w:pPr>
      <w:r>
        <w:rPr>
          <w:rFonts w:ascii="Liberation Sans" w:hAnsi="Liberation Sans"/>
        </w:rPr>
        <w:t xml:space="preserve">Daarnaast leidt het ertoe dat als mensen te weinig nascholing hebben gevolgd in een jaar, dit ook niet meer te verhelpen is. Dat leidt tot nieuwe vraagstukken. Wat te doen als mensen niet aan de norm voldoen? </w:t>
      </w:r>
    </w:p>
    <w:p w14:paraId="3A028C61" w14:textId="77777777" w:rsidR="004027D0" w:rsidRDefault="00000000">
      <w:pPr>
        <w:pStyle w:val="Kop3"/>
      </w:pPr>
      <w:bookmarkStart w:id="13" w:name="__RefHeading___Toc588_2571674870"/>
      <w:bookmarkEnd w:id="13"/>
      <w:r>
        <w:t xml:space="preserve">Alternatieve methode </w:t>
      </w:r>
    </w:p>
    <w:p w14:paraId="0ED027B5" w14:textId="77777777" w:rsidR="004027D0" w:rsidRDefault="00000000">
      <w:r>
        <w:t xml:space="preserve">In de methode die jarenlang is toegepast werd er doorgeteld. Als er dan te weinig nascholing was gevolgd, dan ontstond er een tekort en dat werd eerst aangevuld met overschotten van opvolgende jaren. Zo kon een lid een tekort langzaamaan weer inlopen. </w:t>
      </w:r>
    </w:p>
    <w:p w14:paraId="628FF34A" w14:textId="77777777" w:rsidR="004027D0" w:rsidRDefault="00000000">
      <w:r>
        <w:t xml:space="preserve">Dit systeem werkte op basis van één nascholingsnorm van 4 nascholingsdagen per jaar, maar kan in het nieuwe systeem ook worden toegepast. </w:t>
      </w:r>
    </w:p>
    <w:p w14:paraId="477541FD" w14:textId="77777777" w:rsidR="004027D0" w:rsidRDefault="00000000">
      <w:r>
        <w:t xml:space="preserve">We gaan er bij de berekening vanuit dat er maximaal V=3 keer de norm aan dagen kan worden meegenomen naar een opvolgend jaar. </w:t>
      </w:r>
    </w:p>
    <w:p w14:paraId="78715428" w14:textId="77777777" w:rsidR="004027D0" w:rsidRDefault="00000000">
      <w:r>
        <w:t>De berekening wordt dan als volgt:</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714"/>
        <w:gridCol w:w="7751"/>
      </w:tblGrid>
      <w:tr w:rsidR="004027D0" w14:paraId="582B3D07" w14:textId="77777777">
        <w:tc>
          <w:tcPr>
            <w:tcW w:w="1694" w:type="dxa"/>
            <w:tcBorders>
              <w:top w:val="single" w:sz="4" w:space="0" w:color="000000"/>
              <w:left w:val="single" w:sz="4" w:space="0" w:color="000000"/>
              <w:bottom w:val="single" w:sz="4" w:space="0" w:color="000000"/>
            </w:tcBorders>
            <w:shd w:val="clear" w:color="FFFFFF" w:fill="DDE8CB"/>
          </w:tcPr>
          <w:p w14:paraId="2EB68D26" w14:textId="77777777" w:rsidR="004027D0" w:rsidRDefault="00000000">
            <w:pPr>
              <w:pStyle w:val="Inhoudtabel"/>
              <w:keepNext/>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val="clear" w:color="FFFFFF" w:fill="DDE8CB"/>
          </w:tcPr>
          <w:p w14:paraId="2C51C625" w14:textId="77777777" w:rsidR="004027D0" w:rsidRDefault="00000000">
            <w:pPr>
              <w:pStyle w:val="Inhoudtabel"/>
              <w:keepNext/>
            </w:pPr>
            <w:r>
              <w:rPr>
                <w:b/>
                <w:bCs/>
              </w:rPr>
              <w:t>Berekening doorgeven vorig jaar</w:t>
            </w:r>
          </w:p>
        </w:tc>
      </w:tr>
      <w:tr w:rsidR="004027D0" w14:paraId="6CD085A2" w14:textId="77777777">
        <w:tc>
          <w:tcPr>
            <w:tcW w:w="1694" w:type="dxa"/>
            <w:tcBorders>
              <w:left w:val="single" w:sz="4" w:space="0" w:color="000000"/>
              <w:bottom w:val="single" w:sz="4" w:space="0" w:color="000000"/>
            </w:tcBorders>
          </w:tcPr>
          <w:p w14:paraId="0DD1093E" w14:textId="77777777" w:rsidR="004027D0" w:rsidRDefault="00000000">
            <w:pPr>
              <w:pStyle w:val="Inhoudtabel"/>
              <w:jc w:val="center"/>
            </w:pPr>
            <w:r>
              <w:t>V</w:t>
            </w:r>
          </w:p>
        </w:tc>
        <w:tc>
          <w:tcPr>
            <w:tcW w:w="7660" w:type="dxa"/>
            <w:tcBorders>
              <w:left w:val="single" w:sz="4" w:space="0" w:color="000000"/>
              <w:bottom w:val="single" w:sz="4" w:space="0" w:color="000000"/>
              <w:right w:val="single" w:sz="4" w:space="0" w:color="000000"/>
            </w:tcBorders>
          </w:tcPr>
          <w:p w14:paraId="275C3EE1" w14:textId="77777777" w:rsidR="004027D0" w:rsidRDefault="00000000">
            <w:pPr>
              <w:widowControl w:val="0"/>
            </w:pPr>
            <w:r>
              <w:t>Vermenigvuldigingsfactor voor de normering bij het meenemen van dagen naar opvolgende jaren.</w:t>
            </w:r>
          </w:p>
          <w:p w14:paraId="18E50FCA" w14:textId="77777777" w:rsidR="004027D0" w:rsidRDefault="00000000">
            <w:pPr>
              <w:widowControl w:val="0"/>
            </w:pPr>
            <w:r>
              <w:t>V = 1</w:t>
            </w:r>
          </w:p>
          <w:p w14:paraId="269B67E4" w14:textId="77777777" w:rsidR="004027D0" w:rsidRDefault="00000000">
            <w:pPr>
              <w:widowControl w:val="0"/>
              <w:rPr>
                <w:i/>
                <w:iCs/>
              </w:rPr>
            </w:pPr>
            <w:r>
              <w:rPr>
                <w:i/>
                <w:iCs/>
              </w:rPr>
              <w:lastRenderedPageBreak/>
              <w:t>De normering wordt als volgt: We nemen maximaal een instelbaar aantal dagen mee. Dit is normaal gesproken gelijk aan de norm, maar er kan voor een jaar op worden afgeweken (bijvoorbeeld 2020, waar de norm was bijgesteld naar 2 dagen nascholing, dan toch maximaal 4 dagen meenemen).</w:t>
            </w:r>
          </w:p>
          <w:p w14:paraId="32ED4F73" w14:textId="77777777" w:rsidR="004027D0" w:rsidRDefault="00000000">
            <w:pPr>
              <w:widowControl w:val="0"/>
              <w:rPr>
                <w:i/>
                <w:iCs/>
              </w:rPr>
            </w:pPr>
            <w:r>
              <w:rPr>
                <w:i/>
                <w:iCs/>
              </w:rPr>
              <w:t>Bij het meenemen van dagen geldt de volgende prioritering:</w:t>
            </w:r>
          </w:p>
          <w:p w14:paraId="550DBC67" w14:textId="77777777" w:rsidR="004027D0" w:rsidRDefault="00000000">
            <w:pPr>
              <w:pStyle w:val="Lijstalinea"/>
              <w:widowControl w:val="0"/>
              <w:numPr>
                <w:ilvl w:val="3"/>
                <w:numId w:val="2"/>
              </w:numPr>
              <w:rPr>
                <w:i/>
                <w:iCs/>
              </w:rPr>
            </w:pPr>
            <w:r>
              <w:rPr>
                <w:i/>
                <w:iCs/>
              </w:rPr>
              <w:t>Overschot aan medische dagen</w:t>
            </w:r>
          </w:p>
          <w:p w14:paraId="0B019C27" w14:textId="77777777" w:rsidR="004027D0" w:rsidRDefault="00000000">
            <w:pPr>
              <w:pStyle w:val="Lijstalinea"/>
              <w:widowControl w:val="0"/>
              <w:numPr>
                <w:ilvl w:val="3"/>
                <w:numId w:val="2"/>
              </w:numPr>
              <w:rPr>
                <w:i/>
                <w:iCs/>
              </w:rPr>
            </w:pPr>
            <w:r>
              <w:rPr>
                <w:i/>
                <w:iCs/>
              </w:rPr>
              <w:t>Overschot aan homeopathie dagen</w:t>
            </w:r>
          </w:p>
          <w:p w14:paraId="57D04AC0" w14:textId="77777777" w:rsidR="004027D0" w:rsidRDefault="00000000">
            <w:pPr>
              <w:pStyle w:val="Lijstalinea"/>
              <w:widowControl w:val="0"/>
              <w:numPr>
                <w:ilvl w:val="3"/>
                <w:numId w:val="2"/>
              </w:numPr>
              <w:rPr>
                <w:i/>
                <w:iCs/>
              </w:rPr>
            </w:pPr>
            <w:r>
              <w:rPr>
                <w:i/>
                <w:iCs/>
              </w:rPr>
              <w:t>Overschot aan overige dagen</w:t>
            </w:r>
          </w:p>
        </w:tc>
      </w:tr>
      <w:tr w:rsidR="004027D0" w14:paraId="6AC2EED1" w14:textId="77777777">
        <w:tc>
          <w:tcPr>
            <w:tcW w:w="1694" w:type="dxa"/>
            <w:tcBorders>
              <w:left w:val="single" w:sz="4" w:space="0" w:color="000000"/>
              <w:bottom w:val="single" w:sz="4" w:space="0" w:color="000000"/>
            </w:tcBorders>
          </w:tcPr>
          <w:p w14:paraId="16A3888C" w14:textId="77777777" w:rsidR="004027D0" w:rsidRDefault="00000000">
            <w:pPr>
              <w:pStyle w:val="Inhoudtabel"/>
              <w:jc w:val="center"/>
            </w:pPr>
            <w:r>
              <w:lastRenderedPageBreak/>
              <w:t>SK(j)</w:t>
            </w:r>
          </w:p>
        </w:tc>
        <w:tc>
          <w:tcPr>
            <w:tcW w:w="7660" w:type="dxa"/>
            <w:tcBorders>
              <w:left w:val="single" w:sz="4" w:space="0" w:color="000000"/>
              <w:bottom w:val="single" w:sz="4" w:space="0" w:color="000000"/>
              <w:right w:val="single" w:sz="4" w:space="0" w:color="000000"/>
            </w:tcBorders>
          </w:tcPr>
          <w:p w14:paraId="1ABA1D88" w14:textId="77777777" w:rsidR="004027D0" w:rsidRDefault="00000000">
            <w:pPr>
              <w:widowControl w:val="0"/>
            </w:pPr>
            <w:r>
              <w:t>Gegeven een Saldo voor Klassieke Homeopathie voor een gegeven jaar. Dit is een overschot, voldoende of tekort voor een gegeven jaar. Als we vervolgens doortellen vanaf het begin, dan werkt het als volgt:</w:t>
            </w:r>
          </w:p>
          <w:p w14:paraId="710BA67F" w14:textId="77777777" w:rsidR="004027D0" w:rsidRDefault="00000000">
            <w:pPr>
              <w:widowControl w:val="0"/>
            </w:pPr>
            <w:r>
              <w:t xml:space="preserve">MK(j) = </w:t>
            </w:r>
            <w:r>
              <w:rPr>
                <w:b/>
                <w:bCs/>
              </w:rPr>
              <w:t>als</w:t>
            </w:r>
            <w:r>
              <w:t xml:space="preserve"> SK(j – 1) &gt;(V * NK(j – 1)) </w:t>
            </w:r>
            <w:r>
              <w:rPr>
                <w:b/>
                <w:bCs/>
              </w:rPr>
              <w:t>dan</w:t>
            </w:r>
            <w:r>
              <w:t xml:space="preserve"> V * NK(j – 1) </w:t>
            </w:r>
            <w:r>
              <w:rPr>
                <w:b/>
                <w:bCs/>
              </w:rPr>
              <w:t>anders</w:t>
            </w:r>
            <w:r>
              <w:t xml:space="preserve"> SK(j – 1)</w:t>
            </w:r>
            <w:r>
              <w:br/>
              <w:t>SK(j) = DK(j) – (</w:t>
            </w:r>
            <w:r>
              <w:rPr>
                <w:b/>
                <w:bCs/>
              </w:rPr>
              <w:t>als</w:t>
            </w:r>
            <w:r>
              <w:t xml:space="preserve"> Normeren(j) </w:t>
            </w:r>
            <w:r>
              <w:rPr>
                <w:b/>
                <w:bCs/>
              </w:rPr>
              <w:t>dan</w:t>
            </w:r>
            <w:r>
              <w:t xml:space="preserve"> NK(j) </w:t>
            </w:r>
            <w:r>
              <w:rPr>
                <w:b/>
                <w:bCs/>
              </w:rPr>
              <w:t>anders</w:t>
            </w:r>
            <w:r>
              <w:t xml:space="preserve"> 0) + MK(j)</w:t>
            </w:r>
          </w:p>
          <w:p w14:paraId="66FF49E6" w14:textId="77777777" w:rsidR="004027D0" w:rsidRDefault="00000000">
            <w:pPr>
              <w:widowControl w:val="0"/>
            </w:pPr>
            <w:r>
              <w:t>Waarbij ‘Normeren(j)’ waar is voor de jaren &lt;= het jaar van afstuderen.</w:t>
            </w:r>
          </w:p>
        </w:tc>
      </w:tr>
      <w:tr w:rsidR="004027D0" w14:paraId="47E775AD" w14:textId="77777777">
        <w:tc>
          <w:tcPr>
            <w:tcW w:w="1694" w:type="dxa"/>
            <w:tcBorders>
              <w:left w:val="single" w:sz="4" w:space="0" w:color="000000"/>
              <w:bottom w:val="single" w:sz="4" w:space="0" w:color="000000"/>
            </w:tcBorders>
          </w:tcPr>
          <w:p w14:paraId="5350C834" w14:textId="77777777" w:rsidR="004027D0" w:rsidRDefault="00000000">
            <w:pPr>
              <w:pStyle w:val="Inhoudtabel"/>
              <w:jc w:val="center"/>
            </w:pPr>
            <w:r>
              <w:t>SM(j)</w:t>
            </w:r>
          </w:p>
        </w:tc>
        <w:tc>
          <w:tcPr>
            <w:tcW w:w="7660" w:type="dxa"/>
            <w:tcBorders>
              <w:left w:val="single" w:sz="4" w:space="0" w:color="000000"/>
              <w:bottom w:val="single" w:sz="4" w:space="0" w:color="000000"/>
              <w:right w:val="single" w:sz="4" w:space="0" w:color="000000"/>
            </w:tcBorders>
          </w:tcPr>
          <w:p w14:paraId="5D1D4B88" w14:textId="77777777" w:rsidR="004027D0" w:rsidRDefault="00000000">
            <w:pPr>
              <w:widowControl w:val="0"/>
            </w:pPr>
            <w:r>
              <w:t xml:space="preserve">MM(j) = </w:t>
            </w:r>
            <w:r>
              <w:rPr>
                <w:b/>
                <w:bCs/>
              </w:rPr>
              <w:t xml:space="preserve">als </w:t>
            </w:r>
            <w:r>
              <w:t xml:space="preserve">SM(j – 1) &gt; (V * NM(j – 1)) </w:t>
            </w:r>
            <w:r>
              <w:rPr>
                <w:b/>
                <w:bCs/>
              </w:rPr>
              <w:t xml:space="preserve">dan </w:t>
            </w:r>
            <w:r>
              <w:t xml:space="preserve">V * NM(j – 1) </w:t>
            </w:r>
            <w:r>
              <w:rPr>
                <w:b/>
                <w:bCs/>
              </w:rPr>
              <w:t xml:space="preserve">anders </w:t>
            </w:r>
            <w:r>
              <w:t>SM(j – 1)</w:t>
            </w:r>
            <w:r>
              <w:br/>
              <w:t>SM(j) = DM(j) – (</w:t>
            </w:r>
            <w:r>
              <w:rPr>
                <w:b/>
                <w:bCs/>
              </w:rPr>
              <w:t xml:space="preserve">als </w:t>
            </w:r>
            <w:r>
              <w:t xml:space="preserve">Normeren(j) </w:t>
            </w:r>
            <w:r>
              <w:rPr>
                <w:b/>
                <w:bCs/>
              </w:rPr>
              <w:t>dan</w:t>
            </w:r>
            <w:r>
              <w:t xml:space="preserve"> NM(j) </w:t>
            </w:r>
            <w:r>
              <w:rPr>
                <w:b/>
                <w:bCs/>
              </w:rPr>
              <w:t xml:space="preserve">anders </w:t>
            </w:r>
            <w:r>
              <w:t>0) + MM(j)</w:t>
            </w:r>
          </w:p>
        </w:tc>
      </w:tr>
      <w:tr w:rsidR="004027D0" w14:paraId="41E2740A" w14:textId="77777777">
        <w:trPr>
          <w:trHeight w:val="1020"/>
        </w:trPr>
        <w:tc>
          <w:tcPr>
            <w:tcW w:w="1694" w:type="dxa"/>
            <w:tcBorders>
              <w:left w:val="single" w:sz="4" w:space="0" w:color="000000"/>
              <w:bottom w:val="single" w:sz="4" w:space="0" w:color="000000"/>
            </w:tcBorders>
          </w:tcPr>
          <w:p w14:paraId="159A3C73" w14:textId="77777777" w:rsidR="004027D0" w:rsidRDefault="00000000">
            <w:pPr>
              <w:pStyle w:val="Inhoudtabel"/>
              <w:jc w:val="center"/>
            </w:pPr>
            <w:r>
              <w:t>ST(j)</w:t>
            </w:r>
          </w:p>
        </w:tc>
        <w:tc>
          <w:tcPr>
            <w:tcW w:w="7660" w:type="dxa"/>
            <w:tcBorders>
              <w:left w:val="single" w:sz="4" w:space="0" w:color="000000"/>
              <w:bottom w:val="single" w:sz="4" w:space="0" w:color="000000"/>
              <w:right w:val="single" w:sz="4" w:space="0" w:color="000000"/>
            </w:tcBorders>
          </w:tcPr>
          <w:p w14:paraId="590DD002" w14:textId="77777777" w:rsidR="004027D0" w:rsidRDefault="00000000">
            <w:pPr>
              <w:widowControl w:val="0"/>
            </w:pPr>
            <w:r>
              <w:t>Het saldo over het totaal wordt vervolgens als volgt bepaald:</w:t>
            </w:r>
          </w:p>
          <w:p w14:paraId="01F1BA77" w14:textId="77777777" w:rsidR="004027D0" w:rsidRDefault="00000000">
            <w:pPr>
              <w:widowControl w:val="0"/>
            </w:pPr>
            <w:r>
              <w:t>Norm(x) = NT(x) – NK(x) – NM(x)</w:t>
            </w:r>
          </w:p>
          <w:p w14:paraId="318B23A0" w14:textId="77777777" w:rsidR="004027D0" w:rsidRDefault="00000000">
            <w:pPr>
              <w:widowControl w:val="0"/>
            </w:pPr>
            <w:r>
              <w:t xml:space="preserve">MT(j) = </w:t>
            </w:r>
            <w:r>
              <w:rPr>
                <w:b/>
                <w:bCs/>
              </w:rPr>
              <w:t xml:space="preserve">als </w:t>
            </w:r>
            <w:r>
              <w:t xml:space="preserve">ST(j – 1) &gt; (V * Norm(j – 1)) </w:t>
            </w:r>
            <w:r>
              <w:rPr>
                <w:b/>
                <w:bCs/>
              </w:rPr>
              <w:t>dan</w:t>
            </w:r>
            <w:r>
              <w:t xml:space="preserve"> V * Norm(j – 1) </w:t>
            </w:r>
            <w:r>
              <w:rPr>
                <w:b/>
                <w:bCs/>
              </w:rPr>
              <w:t>anders</w:t>
            </w:r>
            <w:r>
              <w:t xml:space="preserve"> ST(j – 1)</w:t>
            </w:r>
            <w:r>
              <w:br/>
              <w:t xml:space="preserve">ST(j) = SK(j) + SM(j) + DO(j) + WG(j) + VR(j) </w:t>
            </w:r>
            <w:r>
              <w:br/>
              <w:t xml:space="preserve">            – (</w:t>
            </w:r>
            <w:r>
              <w:rPr>
                <w:b/>
                <w:bCs/>
              </w:rPr>
              <w:t xml:space="preserve">als </w:t>
            </w:r>
            <w:r>
              <w:t xml:space="preserve">Normeren(j) </w:t>
            </w:r>
            <w:r>
              <w:rPr>
                <w:b/>
                <w:bCs/>
              </w:rPr>
              <w:t xml:space="preserve">dan </w:t>
            </w:r>
            <w:r>
              <w:t xml:space="preserve">Norm(j) </w:t>
            </w:r>
            <w:r>
              <w:rPr>
                <w:b/>
                <w:bCs/>
              </w:rPr>
              <w:t xml:space="preserve">anders </w:t>
            </w:r>
            <w:r>
              <w:t>0)</w:t>
            </w:r>
          </w:p>
        </w:tc>
      </w:tr>
    </w:tbl>
    <w:p w14:paraId="278A75FB" w14:textId="77777777" w:rsidR="004027D0" w:rsidRDefault="00000000">
      <w:r>
        <w:br/>
        <w:t xml:space="preserve">Als er op deze manier wordt doorgeteld, dan cumuleren tekorten door naar volgende jaren. Maar als dan op een gegeven moment het saldo weer boven 0 komt, dan weet je ook dat er voldoende dagen zijn gevolgd om ook de voorgaande jaren te compenseren. </w:t>
      </w:r>
    </w:p>
    <w:p w14:paraId="05DCE991" w14:textId="77777777" w:rsidR="004027D0" w:rsidRDefault="00000000">
      <w:r>
        <w:t xml:space="preserve">Je ziet met andere woorden wel voor welke jaren er een tekort is geweest, maar het nascholende lid kan dit ook weer rechttrekken. Stel dat je jarenlang het tekort laat oplopen, dan is het mogelijk om dat in één jaar weer recht te trekken door heel veel nascholingsdagen te volgen in dat jaar. </w:t>
      </w:r>
    </w:p>
    <w:p w14:paraId="06F908D1" w14:textId="77777777" w:rsidR="004027D0" w:rsidRDefault="00000000">
      <w:pPr>
        <w:pStyle w:val="Kop3"/>
      </w:pPr>
      <w:bookmarkStart w:id="14" w:name="__RefHeading___Toc590_2571674870"/>
      <w:bookmarkEnd w:id="14"/>
      <w:r>
        <w:t>NVKH vraagt andere wijze</w:t>
      </w:r>
    </w:p>
    <w:p w14:paraId="1AD3E2B0" w14:textId="77777777" w:rsidR="004027D0" w:rsidRDefault="00000000">
      <w:r>
        <w:rPr>
          <w:i/>
          <w:iCs/>
        </w:rPr>
        <w:t>NVKH wil dit anders</w:t>
      </w:r>
      <w:r>
        <w:t xml:space="preserve">. Voorgaande jaren met tekorten moeten gecompenseerd worden vanuit opvolgende jaren, zodat er geen ‘oranje’ jaren ontstaan. </w:t>
      </w:r>
    </w:p>
    <w:p w14:paraId="4DAC4C95" w14:textId="77777777" w:rsidR="004027D0" w:rsidRDefault="00000000">
      <w:r>
        <w:t xml:space="preserve">We moeten dan terugtellen naar de voorgaande jaren vanuit de overschotten van de huidige jaren. </w:t>
      </w:r>
    </w:p>
    <w:p w14:paraId="6602D761" w14:textId="77777777" w:rsidR="004027D0" w:rsidRDefault="00000000">
      <w:r>
        <w:t xml:space="preserve">Daarbij wil de NVKH bij een overschot dat er voorrang wordt gegeven aan medische en homeopathie overschotten bij het doortellen. </w:t>
      </w:r>
    </w:p>
    <w:p w14:paraId="160D899F" w14:textId="77777777" w:rsidR="004027D0" w:rsidRDefault="00000000">
      <w:pPr>
        <w:pStyle w:val="Kop1"/>
      </w:pPr>
      <w:bookmarkStart w:id="15" w:name="__RefHeading___Toc719_1486544339"/>
      <w:bookmarkEnd w:id="15"/>
      <w:r>
        <w:t>Geïmplementeerde methode</w:t>
      </w:r>
    </w:p>
    <w:p w14:paraId="20654306" w14:textId="77777777" w:rsidR="004027D0" w:rsidRDefault="00000000">
      <w:r>
        <w:t xml:space="preserve">In dit hoofdstuk wordt de in het CRM systeem geïmplementeerde berekening beschreven. Deze berekening is opgezet conform de ‘alternatieve methode’. Het beschrijven van deze berekening is vooral belangrijk in verband met het verdelen van de saldi over de jaren heen. </w:t>
      </w:r>
    </w:p>
    <w:p w14:paraId="67C901BD" w14:textId="77777777" w:rsidR="004027D0" w:rsidRDefault="00000000">
      <w:pPr>
        <w:pStyle w:val="Kop2"/>
      </w:pPr>
      <w:bookmarkStart w:id="16" w:name="__RefHeading___Toc721_1486544339"/>
      <w:bookmarkEnd w:id="16"/>
      <w:r>
        <w:lastRenderedPageBreak/>
        <w:t>Salderen per jaar</w:t>
      </w:r>
    </w:p>
    <w:p w14:paraId="25549138" w14:textId="77777777" w:rsidR="004027D0" w:rsidRDefault="00000000">
      <w:r>
        <w:t xml:space="preserve">Het salderen per jaar is geïmplementeerd conform de beschreven salderingsmethode in hoofdstuk </w:t>
      </w:r>
      <w:r>
        <w:fldChar w:fldCharType="begin"/>
      </w:r>
      <w:r>
        <w:instrText xml:space="preserve"> REF __RefHeading___Toc576_2571674870 \r \h </w:instrText>
      </w:r>
      <w:r>
        <w:fldChar w:fldCharType="separate"/>
      </w:r>
      <w:r>
        <w:t xml:space="preserve"> 2.6 </w:t>
      </w:r>
      <w:r>
        <w:fldChar w:fldCharType="end"/>
      </w:r>
      <w:r>
        <w:t>.</w:t>
      </w:r>
    </w:p>
    <w:p w14:paraId="3853D7DA" w14:textId="77777777" w:rsidR="004027D0" w:rsidRDefault="00000000">
      <w:r>
        <w:t xml:space="preserve">Alle gevolgde nascholingen in een jaar worden geteld. Alle werkgroepverslagen worden geteld. De vrijstelling wordt bepaald. Dit wordt gesaldeerd tegen de norm en de saldi worden uitgeschreven in het nascholingsrecord. </w:t>
      </w:r>
    </w:p>
    <w:p w14:paraId="038C9D1E" w14:textId="77777777" w:rsidR="004027D0" w:rsidRDefault="00000000">
      <w:r>
        <w:t xml:space="preserve">Tenzij het een handmatig nascholingsrecord is, dan wordt er niets uitgerekend, maar worden alle totalen overgenomen uit het nascholingsrecord zelf. </w:t>
      </w:r>
    </w:p>
    <w:p w14:paraId="44742FFC" w14:textId="77777777" w:rsidR="004027D0" w:rsidRDefault="00000000">
      <w:r>
        <w:t xml:space="preserve">In het nascholingsrecord worden tijdens deze berekening de normen opgeslagen. Die worden overgenomen uit de normen-tabel. Hierbij wordt ook het veld ‘maximaal meenemen’ overgenomen. Dit veld kan verschillen met de norm. Bijvoorbeeld in 2020, waar de norm 2 is en maximaal meenemen 4. </w:t>
      </w:r>
    </w:p>
    <w:p w14:paraId="3861B735" w14:textId="77777777" w:rsidR="004027D0" w:rsidRDefault="00000000">
      <w:pPr>
        <w:pStyle w:val="Kop2"/>
      </w:pPr>
      <w:bookmarkStart w:id="17" w:name="__RefHeading___Toc723_1486544339"/>
      <w:bookmarkEnd w:id="17"/>
      <w:r>
        <w:t>Verdelen over de jaren</w:t>
      </w:r>
    </w:p>
    <w:p w14:paraId="17BE2BDF" w14:textId="77777777" w:rsidR="004027D0" w:rsidRDefault="00000000">
      <w:r>
        <w:t xml:space="preserve">De berekening zoals geïmplementeerd volgt de alternatieve methode van hoofdstuk </w:t>
      </w:r>
      <w:r>
        <w:fldChar w:fldCharType="begin"/>
      </w:r>
      <w:r>
        <w:instrText xml:space="preserve"> REF __RefHeading___Toc584_2571674870 \r \h </w:instrText>
      </w:r>
      <w:r>
        <w:fldChar w:fldCharType="separate"/>
      </w:r>
      <w:r>
        <w:t xml:space="preserve"> 2.8 </w:t>
      </w:r>
      <w:r>
        <w:fldChar w:fldCharType="end"/>
      </w:r>
      <w:r>
        <w:t xml:space="preserve">, met de opmerkingen van hoofdstuk </w:t>
      </w:r>
      <w:r>
        <w:fldChar w:fldCharType="begin"/>
      </w:r>
      <w:r>
        <w:instrText xml:space="preserve"> REF __RefHeading___Toc590_2571674870 \r \h </w:instrText>
      </w:r>
      <w:r>
        <w:fldChar w:fldCharType="separate"/>
      </w:r>
      <w:r>
        <w:t xml:space="preserve"> 2.8.3 </w:t>
      </w:r>
      <w:r>
        <w:fldChar w:fldCharType="end"/>
      </w:r>
      <w:r>
        <w:t xml:space="preserve">. Er wordt bij deze  berekening “doorgeteld”. Echter, om te zorgen dat aan de wensen van de NVKH wordt voldaan, wordt er ook weer teruggerekend. </w:t>
      </w:r>
    </w:p>
    <w:p w14:paraId="75A5C5A7" w14:textId="77777777" w:rsidR="004027D0" w:rsidRDefault="00000000">
      <w:r>
        <w:t xml:space="preserve">Dit levert alsnog een ingewikkelde berekening op, die moet worden uitgelegd aan leden om te worden begrepen. </w:t>
      </w:r>
    </w:p>
    <w:p w14:paraId="739C87FC" w14:textId="77777777" w:rsidR="004027D0" w:rsidRDefault="00000000">
      <w:r>
        <w:t xml:space="preserve">De implementatie legt dan ook de berekening van a tot z uit, zodat de leden precies kunnen volgen wat er gebeurt. </w:t>
      </w:r>
    </w:p>
    <w:p w14:paraId="5719B32D" w14:textId="77777777" w:rsidR="004027D0" w:rsidRDefault="00000000">
      <w:r>
        <w:t>De nieuwe berekening wordt op de volgende manier uitgevoerd:</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980"/>
        <w:gridCol w:w="8485"/>
      </w:tblGrid>
      <w:tr w:rsidR="004027D0" w14:paraId="52AC11DC" w14:textId="77777777">
        <w:tc>
          <w:tcPr>
            <w:tcW w:w="969" w:type="dxa"/>
            <w:tcBorders>
              <w:top w:val="single" w:sz="4" w:space="0" w:color="000000"/>
              <w:left w:val="single" w:sz="4" w:space="0" w:color="000000"/>
              <w:bottom w:val="single" w:sz="4" w:space="0" w:color="000000"/>
            </w:tcBorders>
          </w:tcPr>
          <w:p w14:paraId="0FFB9D18" w14:textId="77777777" w:rsidR="004027D0" w:rsidRDefault="00000000">
            <w:pPr>
              <w:pStyle w:val="Inhoudtabel"/>
            </w:pPr>
            <w:r>
              <w:t>Stap 1</w:t>
            </w:r>
          </w:p>
        </w:tc>
        <w:tc>
          <w:tcPr>
            <w:tcW w:w="8385" w:type="dxa"/>
            <w:tcBorders>
              <w:top w:val="single" w:sz="4" w:space="0" w:color="000000"/>
              <w:left w:val="single" w:sz="4" w:space="0" w:color="000000"/>
              <w:bottom w:val="single" w:sz="4" w:space="0" w:color="000000"/>
              <w:right w:val="single" w:sz="4" w:space="0" w:color="000000"/>
            </w:tcBorders>
          </w:tcPr>
          <w:p w14:paraId="42C649BB" w14:textId="77777777" w:rsidR="004027D0" w:rsidRDefault="00000000">
            <w:pPr>
              <w:pStyle w:val="Inhoudtabel"/>
            </w:pPr>
            <w:r>
              <w:t xml:space="preserve">Voor alle jaren worden de saldi per jaar berekend, zoals beschreven in hoofdstuk </w:t>
            </w:r>
            <w:r>
              <w:fldChar w:fldCharType="begin"/>
            </w:r>
            <w:r>
              <w:instrText xml:space="preserve"> REF __RefHeading___Toc576_2571674870 \r \h </w:instrText>
            </w:r>
            <w:r>
              <w:fldChar w:fldCharType="separate"/>
            </w:r>
            <w:r>
              <w:t xml:space="preserve"> 2.6 </w:t>
            </w:r>
            <w:r>
              <w:fldChar w:fldCharType="end"/>
            </w:r>
            <w:r>
              <w:t>.</w:t>
            </w:r>
          </w:p>
          <w:p w14:paraId="4C07649F" w14:textId="77777777" w:rsidR="004027D0" w:rsidRDefault="00000000">
            <w:pPr>
              <w:pStyle w:val="Inhoudtabel"/>
            </w:pPr>
            <w:r>
              <w:t>Dit levert een uitgangspositie op voor het verdelen over de jaren.</w:t>
            </w:r>
          </w:p>
        </w:tc>
      </w:tr>
      <w:tr w:rsidR="004027D0" w14:paraId="2A678F9C" w14:textId="77777777">
        <w:tc>
          <w:tcPr>
            <w:tcW w:w="969" w:type="dxa"/>
            <w:tcBorders>
              <w:left w:val="single" w:sz="4" w:space="0" w:color="000000"/>
              <w:bottom w:val="single" w:sz="4" w:space="0" w:color="000000"/>
            </w:tcBorders>
          </w:tcPr>
          <w:p w14:paraId="2E36068E" w14:textId="77777777" w:rsidR="004027D0" w:rsidRDefault="00000000">
            <w:pPr>
              <w:pStyle w:val="Inhoudtabel"/>
            </w:pPr>
            <w:r>
              <w:t>Stap 2</w:t>
            </w:r>
          </w:p>
        </w:tc>
        <w:tc>
          <w:tcPr>
            <w:tcW w:w="8385" w:type="dxa"/>
            <w:tcBorders>
              <w:left w:val="single" w:sz="4" w:space="0" w:color="000000"/>
              <w:bottom w:val="single" w:sz="4" w:space="0" w:color="000000"/>
              <w:right w:val="single" w:sz="4" w:space="0" w:color="000000"/>
            </w:tcBorders>
          </w:tcPr>
          <w:p w14:paraId="69A6430F" w14:textId="77777777" w:rsidR="004027D0" w:rsidRDefault="00000000">
            <w:pPr>
              <w:pStyle w:val="Inhoudtabel"/>
            </w:pPr>
            <w:r>
              <w:t>Alle saldi worden ingelezen in een op jaar geordende lijst. Deze lijst wordt uitgebreid met ‘calculatie’ velden voor homeopathie, medisch en totaal. In 1</w:t>
            </w:r>
            <w:r>
              <w:rPr>
                <w:vertAlign w:val="superscript"/>
              </w:rPr>
              <w:t>e</w:t>
            </w:r>
            <w:r>
              <w:t xml:space="preserve"> instantie worden deze calculatie velden gevuld met de berekende saldi.</w:t>
            </w:r>
          </w:p>
        </w:tc>
      </w:tr>
      <w:tr w:rsidR="004027D0" w14:paraId="387615C6" w14:textId="77777777">
        <w:tc>
          <w:tcPr>
            <w:tcW w:w="969" w:type="dxa"/>
            <w:tcBorders>
              <w:left w:val="single" w:sz="4" w:space="0" w:color="000000"/>
              <w:bottom w:val="single" w:sz="4" w:space="0" w:color="000000"/>
            </w:tcBorders>
          </w:tcPr>
          <w:p w14:paraId="61FD227F" w14:textId="77777777" w:rsidR="004027D0" w:rsidRDefault="00000000">
            <w:pPr>
              <w:pStyle w:val="Inhoudtabel"/>
            </w:pPr>
            <w:r>
              <w:t>Stap 3</w:t>
            </w:r>
          </w:p>
        </w:tc>
        <w:tc>
          <w:tcPr>
            <w:tcW w:w="8385" w:type="dxa"/>
            <w:tcBorders>
              <w:left w:val="single" w:sz="4" w:space="0" w:color="000000"/>
              <w:bottom w:val="single" w:sz="4" w:space="0" w:color="000000"/>
              <w:right w:val="single" w:sz="4" w:space="0" w:color="000000"/>
            </w:tcBorders>
          </w:tcPr>
          <w:p w14:paraId="47213F46" w14:textId="77777777" w:rsidR="004027D0" w:rsidRDefault="00000000">
            <w:pPr>
              <w:pStyle w:val="Inhoudtabel"/>
            </w:pPr>
            <w:r>
              <w:t>Voor ieder jaar worden nu de saldi verdeeld:</w:t>
            </w:r>
          </w:p>
          <w:p w14:paraId="618531CD" w14:textId="77777777" w:rsidR="004027D0" w:rsidRDefault="004027D0">
            <w:pPr>
              <w:pStyle w:val="Inhoudtabel"/>
            </w:pPr>
          </w:p>
          <w:p w14:paraId="4DD4695A" w14:textId="77777777" w:rsidR="004027D0" w:rsidRDefault="00000000">
            <w:pPr>
              <w:pStyle w:val="Inhoudtabel"/>
              <w:rPr>
                <w:b/>
                <w:bCs/>
                <w:i/>
                <w:iCs/>
              </w:rPr>
            </w:pPr>
            <w:r>
              <w:rPr>
                <w:b/>
                <w:bCs/>
                <w:i/>
                <w:iCs/>
              </w:rPr>
              <w:t>Tekorten.</w:t>
            </w:r>
          </w:p>
          <w:p w14:paraId="68DA8067" w14:textId="77777777" w:rsidR="004027D0" w:rsidRDefault="00000000">
            <w:pPr>
              <w:pStyle w:val="Inhoudtabel"/>
            </w:pPr>
            <w:r>
              <w:t>Per jaar wordt gekeken of er in de voorgaande jaren nog tekorten zijn. Zo ja, dan worden die tekorten naar die voorgaande jaren aangevuld vanuit het huidige jaar.</w:t>
            </w:r>
          </w:p>
          <w:p w14:paraId="217CE00A" w14:textId="77777777" w:rsidR="004027D0" w:rsidRDefault="004027D0">
            <w:pPr>
              <w:pStyle w:val="Inhoudtabel"/>
            </w:pPr>
          </w:p>
          <w:p w14:paraId="4EAB9355" w14:textId="77777777" w:rsidR="004027D0" w:rsidRDefault="00000000">
            <w:pPr>
              <w:pStyle w:val="Inhoudtabel"/>
            </w:pPr>
            <w:r>
              <w:t>Daarmee komen de voorgaande jaren in de berekening altijd op 0 uit. Tegelijkertijd wordt er wel een gestapeld tekort vastgesteld.</w:t>
            </w:r>
          </w:p>
          <w:p w14:paraId="27400A75" w14:textId="77777777" w:rsidR="004027D0" w:rsidRDefault="004027D0">
            <w:pPr>
              <w:pStyle w:val="Inhoudtabel"/>
            </w:pPr>
          </w:p>
          <w:p w14:paraId="5EDDF787" w14:textId="77777777" w:rsidR="004027D0" w:rsidRDefault="00000000">
            <w:pPr>
              <w:pStyle w:val="Inhoudtabel"/>
            </w:pPr>
            <w:r>
              <w:t>Hiermee wordt bereikt dat tekorten voor zover dat mogelijk is eerst worden opgelost vanuit opvolgende jaren. Dat zijn niet noodzakelijkerwijs jaren met een overschot. De tekorten lopen op, als er jaar op jaar een negatief nascholingssaldo is.</w:t>
            </w:r>
          </w:p>
          <w:p w14:paraId="046DEBC2" w14:textId="77777777" w:rsidR="004027D0" w:rsidRDefault="004027D0">
            <w:pPr>
              <w:pStyle w:val="Inhoudtabel"/>
            </w:pPr>
          </w:p>
          <w:p w14:paraId="07FA32AB" w14:textId="77777777" w:rsidR="004027D0" w:rsidRDefault="00000000">
            <w:pPr>
              <w:pStyle w:val="Inhoudtabel"/>
            </w:pPr>
            <w:r>
              <w:t>Omdat de berekende ‘surplus’ voor tekorten altijd op 0 uitkomt, behalve in het laatste jaar, waarin de doorgetelde tekorten duidelijk zichtbaar worden, wordt per jaar met een tekort wel het tekort vastgehouden. Dit tekort bestaat uit het saldo + het aantal dagen aangevuld vanuit opvolgende jaren. Zolang er een eind tekort is, blijven deze tekorten zichtbaar. Als er aan het eind van de rit de berekening op 0 of een positief aantal uitkomt, dan verdwijnen ook direct alle opgeloste tekorten.</w:t>
            </w:r>
          </w:p>
          <w:p w14:paraId="24767EA6" w14:textId="77777777" w:rsidR="004027D0" w:rsidRDefault="004027D0">
            <w:pPr>
              <w:pStyle w:val="Inhoudtabel"/>
            </w:pPr>
          </w:p>
          <w:p w14:paraId="70E56671" w14:textId="77777777" w:rsidR="004027D0" w:rsidRDefault="00000000">
            <w:pPr>
              <w:pStyle w:val="Inhoudtabel"/>
            </w:pPr>
            <w:r>
              <w:t xml:space="preserve">Het is hiermee mogelijk dat een lid bij wijze van spreken 5 jaar lang een tekort aan medische </w:t>
            </w:r>
            <w:r>
              <w:lastRenderedPageBreak/>
              <w:t>dagen laat oplopen (5x 0 dagen ==&gt; tekort is 5 medische dagen) en dat in het 6</w:t>
            </w:r>
            <w:r>
              <w:rPr>
                <w:vertAlign w:val="superscript"/>
              </w:rPr>
              <w:t>e</w:t>
            </w:r>
            <w:r>
              <w:t xml:space="preserve"> jaar in één keer oplost door bijvoorbeeld 8 medische dagen te volgen. Dan wordt het surplus van 7 dagen in het 6</w:t>
            </w:r>
            <w:r>
              <w:rPr>
                <w:vertAlign w:val="superscript"/>
              </w:rPr>
              <w:t>e</w:t>
            </w:r>
            <w:r>
              <w:t xml:space="preserve"> jaar verdeeld over de 5 voorgaande jaren en blijven er 2 dagen over. Die kunnen meegenomen worden naar het volgende jaar, indien aan de voorwaarden wordt voldaan, die hierna worden beschreven.</w:t>
            </w:r>
          </w:p>
          <w:p w14:paraId="2B97E979" w14:textId="77777777" w:rsidR="004027D0" w:rsidRDefault="004027D0">
            <w:pPr>
              <w:pStyle w:val="Inhoudtabel"/>
            </w:pPr>
          </w:p>
          <w:p w14:paraId="7DE49A80" w14:textId="77777777" w:rsidR="004027D0" w:rsidRDefault="00000000">
            <w:pPr>
              <w:pStyle w:val="Inhoudtabel"/>
              <w:rPr>
                <w:b/>
                <w:bCs/>
                <w:i/>
                <w:iCs/>
              </w:rPr>
            </w:pPr>
            <w:r>
              <w:rPr>
                <w:b/>
                <w:bCs/>
                <w:i/>
                <w:iCs/>
              </w:rPr>
              <w:t>Surplus</w:t>
            </w:r>
          </w:p>
          <w:p w14:paraId="46080EA5" w14:textId="77777777" w:rsidR="004027D0" w:rsidRDefault="00000000">
            <w:pPr>
              <w:pStyle w:val="Inhoudtabel"/>
            </w:pPr>
            <w:r>
              <w:t>Voer dit alleen uit als er geen dagen zijn terugverdeeld.</w:t>
            </w:r>
          </w:p>
          <w:p w14:paraId="3E26AA61" w14:textId="77777777" w:rsidR="004027D0" w:rsidRDefault="004027D0">
            <w:pPr>
              <w:pStyle w:val="Inhoudtabel"/>
            </w:pPr>
          </w:p>
          <w:p w14:paraId="6C632E4B" w14:textId="77777777" w:rsidR="004027D0" w:rsidRDefault="00000000">
            <w:pPr>
              <w:pStyle w:val="Inhoudtabel"/>
            </w:pPr>
            <w:r>
              <w:t>Als er een surplus is voor homeopathie, medisch of het totaal, dan worden die in principe overgenomen in het daarop volgende jaar. En wel tot maximaal het aantal ‘maximum meenemen’ dagen. De waarde van ‘maximum meenemen’ is voor normale leden 4 (vanaf 2024, 5). Voor verloskundigen (regiocode 8) is dat 2.</w:t>
            </w:r>
          </w:p>
          <w:p w14:paraId="33F3D208" w14:textId="77777777" w:rsidR="004027D0" w:rsidRDefault="004027D0">
            <w:pPr>
              <w:pStyle w:val="Inhoudtabel"/>
            </w:pPr>
          </w:p>
          <w:p w14:paraId="2BCD4E34" w14:textId="77777777" w:rsidR="004027D0" w:rsidRDefault="00000000">
            <w:pPr>
              <w:pStyle w:val="Inhoudtabel"/>
            </w:pPr>
            <w:r>
              <w:t>Het meenemen van dagen medisch en homeopathie kan alleen als er in totaal voldoende nascholingsdagen zijn, dus het totaal surplus moet &gt; 0 zijn.</w:t>
            </w:r>
          </w:p>
          <w:p w14:paraId="7E3DFDCC" w14:textId="77777777" w:rsidR="004027D0" w:rsidRDefault="004027D0">
            <w:pPr>
              <w:pStyle w:val="Inhoudtabel"/>
            </w:pPr>
          </w:p>
          <w:p w14:paraId="2B3E844E" w14:textId="77777777" w:rsidR="004027D0" w:rsidRDefault="00000000">
            <w:pPr>
              <w:pStyle w:val="Inhoudtabel"/>
            </w:pPr>
            <w:r>
              <w:t>De dagen worden als volgt meegenomen:</w:t>
            </w:r>
          </w:p>
          <w:p w14:paraId="18666E4B" w14:textId="77777777" w:rsidR="004027D0" w:rsidRDefault="004027D0">
            <w:pPr>
              <w:pStyle w:val="Inhoudtabel"/>
            </w:pPr>
          </w:p>
          <w:p w14:paraId="2CA1F170" w14:textId="77777777" w:rsidR="004027D0" w:rsidRDefault="00000000">
            <w:pPr>
              <w:pStyle w:val="Inhoudtabel"/>
            </w:pPr>
            <w:r>
              <w:t>meeneem_count = ‘maximum meenemen’.</w:t>
            </w:r>
          </w:p>
          <w:p w14:paraId="5BB82662" w14:textId="77777777" w:rsidR="004027D0" w:rsidRDefault="004027D0">
            <w:pPr>
              <w:pStyle w:val="Inhoudtabel"/>
            </w:pPr>
          </w:p>
          <w:p w14:paraId="42A56F7E" w14:textId="77777777" w:rsidR="004027D0" w:rsidRDefault="00000000">
            <w:pPr>
              <w:pStyle w:val="Inhoudtabel"/>
            </w:pPr>
            <w:r>
              <w:t>Zolang het totaal aantal voorgaande dagen &gt; 0 en meeneem_count &gt; 0 is:</w:t>
            </w:r>
          </w:p>
          <w:p w14:paraId="5FB31235" w14:textId="77777777" w:rsidR="004027D0" w:rsidRDefault="00000000">
            <w:pPr>
              <w:pStyle w:val="Inhoudtabel"/>
              <w:numPr>
                <w:ilvl w:val="0"/>
                <w:numId w:val="13"/>
              </w:numPr>
            </w:pPr>
            <w:r>
              <w:t>Bepaal wordt welk type wordt meegenomen. De onderstaande afweging wordt in die volgorde bekeken:</w:t>
            </w:r>
          </w:p>
          <w:p w14:paraId="73CE687F" w14:textId="77777777" w:rsidR="004027D0" w:rsidRDefault="00000000">
            <w:pPr>
              <w:pStyle w:val="Inhoudtabel"/>
              <w:numPr>
                <w:ilvl w:val="1"/>
                <w:numId w:val="14"/>
              </w:numPr>
            </w:pPr>
            <w:r>
              <w:t>type = medisch, zolang het huidige medisch surplus &lt; 0 en voorgaand medisch surplus &gt; 0</w:t>
            </w:r>
          </w:p>
          <w:p w14:paraId="508BC9E5" w14:textId="77777777" w:rsidR="004027D0" w:rsidRDefault="00000000">
            <w:pPr>
              <w:pStyle w:val="Inhoudtabel"/>
              <w:numPr>
                <w:ilvl w:val="1"/>
                <w:numId w:val="14"/>
              </w:numPr>
            </w:pPr>
            <w:r>
              <w:t>type = homeopathie, zolang het huidige homeopathie surplus &lt; 0 en voorgaand homeopathie surplus &gt; 0</w:t>
            </w:r>
          </w:p>
          <w:p w14:paraId="1DCD367A" w14:textId="77777777" w:rsidR="004027D0" w:rsidRDefault="00000000">
            <w:pPr>
              <w:pStyle w:val="Inhoudtabel"/>
              <w:numPr>
                <w:ilvl w:val="1"/>
                <w:numId w:val="14"/>
              </w:numPr>
            </w:pPr>
            <w:r>
              <w:t>type = medisch / homeopathie alternerend, zolang voorgaand medisch surplus en voorgaand homeopathie surplus &gt; 0</w:t>
            </w:r>
          </w:p>
          <w:p w14:paraId="64AFA974" w14:textId="77777777" w:rsidR="004027D0" w:rsidRDefault="00000000">
            <w:pPr>
              <w:pStyle w:val="Inhoudtabel"/>
              <w:numPr>
                <w:ilvl w:val="1"/>
                <w:numId w:val="14"/>
              </w:numPr>
            </w:pPr>
            <w:r>
              <w:t>type = homeopathie, zolang voorgaand homeopathie surplus &gt; 0</w:t>
            </w:r>
          </w:p>
          <w:p w14:paraId="4204BDC1" w14:textId="77777777" w:rsidR="004027D0" w:rsidRDefault="00000000">
            <w:pPr>
              <w:pStyle w:val="Inhoudtabel"/>
              <w:numPr>
                <w:ilvl w:val="1"/>
                <w:numId w:val="14"/>
              </w:numPr>
            </w:pPr>
            <w:r>
              <w:t>type = medisch, zolang voorgaand medisch surplus &gt; 0</w:t>
            </w:r>
          </w:p>
          <w:p w14:paraId="4AF05D32" w14:textId="77777777" w:rsidR="004027D0" w:rsidRDefault="00000000">
            <w:pPr>
              <w:pStyle w:val="Inhoudtabel"/>
              <w:numPr>
                <w:ilvl w:val="1"/>
                <w:numId w:val="14"/>
              </w:numPr>
            </w:pPr>
            <w:r>
              <w:t>type = overig, in alle andere gevallen.</w:t>
            </w:r>
          </w:p>
          <w:p w14:paraId="023416F7" w14:textId="77777777" w:rsidR="004027D0" w:rsidRDefault="00000000">
            <w:pPr>
              <w:pStyle w:val="Inhoudtabel"/>
              <w:numPr>
                <w:ilvl w:val="0"/>
                <w:numId w:val="13"/>
              </w:numPr>
            </w:pPr>
            <w:r>
              <w:t>Neem voor het gegeven type, maximaal 1 dag D over. Minder, indien het aantal dagen voor het gegeven type het niet toelaat of het totaal aantal dagen het niet toelaat.</w:t>
            </w:r>
          </w:p>
          <w:p w14:paraId="2361C65E" w14:textId="77777777" w:rsidR="004027D0" w:rsidRDefault="00000000">
            <w:pPr>
              <w:pStyle w:val="Inhoudtabel"/>
              <w:numPr>
                <w:ilvl w:val="0"/>
                <w:numId w:val="13"/>
              </w:numPr>
            </w:pPr>
            <w:r>
              <w:t>Tel hoeveel per type is meegenomen.</w:t>
            </w:r>
          </w:p>
          <w:p w14:paraId="7903C64F" w14:textId="77777777" w:rsidR="004027D0" w:rsidRDefault="00000000">
            <w:pPr>
              <w:pStyle w:val="Inhoudtabel"/>
              <w:numPr>
                <w:ilvl w:val="0"/>
                <w:numId w:val="13"/>
              </w:numPr>
            </w:pPr>
            <w:r>
              <w:t>Trek D van meeneem_count af.</w:t>
            </w:r>
          </w:p>
          <w:p w14:paraId="20DBC474" w14:textId="77777777" w:rsidR="004027D0" w:rsidRDefault="004027D0">
            <w:pPr>
              <w:pStyle w:val="Inhoudtabel"/>
            </w:pPr>
          </w:p>
          <w:p w14:paraId="2A0C6471" w14:textId="77777777" w:rsidR="004027D0" w:rsidRDefault="00000000">
            <w:pPr>
              <w:pStyle w:val="Inhoudtabel"/>
            </w:pPr>
            <w:r>
              <w:t>Als er dagen zijn terug verdeeld, ga dan terug naar het jaar waarvoor deze zijn terug verdeeld en start de berekening opnieuw op vanaf dat jaar. Daarmee wordt een eventueel ontstaan surplus door het terugverdelen (meestal ontstaan bij het totaal aantal dagen) weer meegenomen naar de toekomst.</w:t>
            </w:r>
          </w:p>
        </w:tc>
      </w:tr>
      <w:tr w:rsidR="004027D0" w14:paraId="544B0B59" w14:textId="77777777">
        <w:tc>
          <w:tcPr>
            <w:tcW w:w="969" w:type="dxa"/>
            <w:tcBorders>
              <w:left w:val="single" w:sz="4" w:space="0" w:color="000000"/>
              <w:bottom w:val="single" w:sz="4" w:space="0" w:color="000000"/>
            </w:tcBorders>
          </w:tcPr>
          <w:p w14:paraId="252E14CA" w14:textId="77777777" w:rsidR="004027D0" w:rsidRDefault="00000000">
            <w:pPr>
              <w:pStyle w:val="Inhoudtabel"/>
            </w:pPr>
            <w:r>
              <w:lastRenderedPageBreak/>
              <w:t>Stap 4</w:t>
            </w:r>
          </w:p>
        </w:tc>
        <w:tc>
          <w:tcPr>
            <w:tcW w:w="8385" w:type="dxa"/>
            <w:tcBorders>
              <w:left w:val="single" w:sz="4" w:space="0" w:color="000000"/>
              <w:bottom w:val="single" w:sz="4" w:space="0" w:color="000000"/>
              <w:right w:val="single" w:sz="4" w:space="0" w:color="000000"/>
            </w:tcBorders>
          </w:tcPr>
          <w:p w14:paraId="73E04446" w14:textId="77777777" w:rsidR="004027D0" w:rsidRDefault="00000000">
            <w:pPr>
              <w:pStyle w:val="Inhoudtabel"/>
            </w:pPr>
            <w:r>
              <w:t>Nadat deze volledige berekening is uitgevoerd zijn alle berekeningen gecumuleerd naar het laatste jaar. Nu kan de uitleg van de berekening worden gegeven.</w:t>
            </w:r>
          </w:p>
          <w:p w14:paraId="7DA828C9" w14:textId="77777777" w:rsidR="004027D0" w:rsidRDefault="004027D0">
            <w:pPr>
              <w:pStyle w:val="Inhoudtabel"/>
            </w:pPr>
          </w:p>
          <w:p w14:paraId="3731B4DC" w14:textId="77777777" w:rsidR="004027D0" w:rsidRDefault="00000000">
            <w:pPr>
              <w:pStyle w:val="Inhoudtabel"/>
            </w:pPr>
            <w:r>
              <w:t>Voor alle jaren en types (homeopathie, medisch en totaal):</w:t>
            </w:r>
          </w:p>
          <w:p w14:paraId="08F42FEC" w14:textId="77777777" w:rsidR="004027D0" w:rsidRDefault="00000000">
            <w:pPr>
              <w:pStyle w:val="Inhoudtabel"/>
              <w:numPr>
                <w:ilvl w:val="0"/>
                <w:numId w:val="17"/>
              </w:numPr>
            </w:pPr>
            <w:r>
              <w:t>Bij homeopathie en medisch: gevolgde dagen, normering en saldo.</w:t>
            </w:r>
          </w:p>
          <w:p w14:paraId="1ADF159A" w14:textId="77777777" w:rsidR="004027D0" w:rsidRDefault="00000000">
            <w:pPr>
              <w:pStyle w:val="Inhoudtabel"/>
              <w:numPr>
                <w:ilvl w:val="0"/>
                <w:numId w:val="17"/>
              </w:numPr>
            </w:pPr>
            <w:r>
              <w:t>Bij het totaal ook de onderdelen overig, werkgroep, vrijstelling, homeopathie en medisch; normering en saldo.</w:t>
            </w:r>
          </w:p>
          <w:p w14:paraId="7B4C7681" w14:textId="77777777" w:rsidR="004027D0" w:rsidRDefault="00000000">
            <w:pPr>
              <w:pStyle w:val="Inhoudtabel"/>
              <w:numPr>
                <w:ilvl w:val="0"/>
                <w:numId w:val="15"/>
              </w:numPr>
            </w:pPr>
            <w:r>
              <w:t>Als het berekende totaal voor een jaar &gt;= 0 is en er is geen sprake van correctie vanuit een opvolgend jaar, dan is er sprake van een voldoende aantal nascholingsdagen en het eventuele surplus is dan gelijk aan het berekende getal.</w:t>
            </w:r>
          </w:p>
          <w:p w14:paraId="3F6B3098" w14:textId="77777777" w:rsidR="004027D0" w:rsidRDefault="00000000">
            <w:pPr>
              <w:pStyle w:val="Inhoudtabel"/>
              <w:numPr>
                <w:ilvl w:val="0"/>
                <w:numId w:val="15"/>
              </w:numPr>
            </w:pPr>
            <w:r>
              <w:lastRenderedPageBreak/>
              <w:t>Als er wel gecorrigeerd is vanuit een opvolgend jaar en het eindtotaal van alle jaren &lt; 0, dan</w:t>
            </w:r>
          </w:p>
          <w:p w14:paraId="0E340945" w14:textId="77777777" w:rsidR="004027D0" w:rsidRDefault="00000000">
            <w:pPr>
              <w:pStyle w:val="Inhoudtabel"/>
              <w:numPr>
                <w:ilvl w:val="1"/>
                <w:numId w:val="15"/>
              </w:numPr>
            </w:pPr>
            <w:r>
              <w:t>Als er voldoende was om iets mee te geven aan het volgende jaar, dan was er in dat jaar voor het gegeven jaar voldoende nascholing.</w:t>
            </w:r>
          </w:p>
          <w:p w14:paraId="7D544B91" w14:textId="77777777" w:rsidR="004027D0" w:rsidRDefault="00000000">
            <w:pPr>
              <w:pStyle w:val="Inhoudtabel"/>
              <w:numPr>
                <w:ilvl w:val="1"/>
                <w:numId w:val="15"/>
              </w:numPr>
            </w:pPr>
            <w:r>
              <w:t>Anders is er een tekort en wordt dat ook weergegeven.</w:t>
            </w:r>
          </w:p>
          <w:p w14:paraId="25E40006" w14:textId="77777777" w:rsidR="004027D0" w:rsidRDefault="00000000">
            <w:pPr>
              <w:pStyle w:val="Inhoudtabel"/>
              <w:numPr>
                <w:ilvl w:val="0"/>
                <w:numId w:val="15"/>
              </w:numPr>
            </w:pPr>
            <w:r>
              <w:t>Anders,</w:t>
            </w:r>
          </w:p>
          <w:p w14:paraId="36E1B3E2" w14:textId="77777777" w:rsidR="004027D0" w:rsidRDefault="00000000">
            <w:pPr>
              <w:pStyle w:val="Inhoudtabel"/>
              <w:numPr>
                <w:ilvl w:val="1"/>
                <w:numId w:val="15"/>
              </w:numPr>
            </w:pPr>
            <w:r>
              <w:t>Als het berekende getal &lt; 0 is voor dit jaar, dan is er onvoldoende nageschoold.</w:t>
            </w:r>
          </w:p>
          <w:p w14:paraId="0BBEA671" w14:textId="77777777" w:rsidR="004027D0" w:rsidRDefault="00000000">
            <w:pPr>
              <w:pStyle w:val="Inhoudtabel"/>
              <w:numPr>
                <w:ilvl w:val="1"/>
                <w:numId w:val="15"/>
              </w:numPr>
            </w:pPr>
            <w:r>
              <w:t>Anders is het voldoende, maar zijn tekorten aangevuld vanuit opvolgende jaren; het geen in die opvolgende jaren tot een tekort kan leiden.</w:t>
            </w:r>
          </w:p>
          <w:p w14:paraId="2C03FF84" w14:textId="77777777" w:rsidR="004027D0" w:rsidRDefault="004027D0">
            <w:pPr>
              <w:pStyle w:val="Inhoudtabel"/>
            </w:pPr>
          </w:p>
          <w:p w14:paraId="306E22DA" w14:textId="77777777" w:rsidR="004027D0" w:rsidRDefault="00000000">
            <w:pPr>
              <w:pStyle w:val="Inhoudtabel"/>
            </w:pPr>
            <w:r>
              <w:t>Vervolgens wordt weergegeven wat er eventueel is meegenomen uit het voorgaande jaar en:</w:t>
            </w:r>
          </w:p>
          <w:p w14:paraId="0C3BCC02" w14:textId="77777777" w:rsidR="004027D0" w:rsidRDefault="004027D0">
            <w:pPr>
              <w:pStyle w:val="Inhoudtabel"/>
            </w:pPr>
          </w:p>
          <w:p w14:paraId="6D0E0ECA" w14:textId="77777777" w:rsidR="004027D0" w:rsidRDefault="00000000">
            <w:pPr>
              <w:pStyle w:val="Inhoudtabel"/>
              <w:numPr>
                <w:ilvl w:val="0"/>
                <w:numId w:val="16"/>
              </w:numPr>
            </w:pPr>
            <w:r>
              <w:t>Bij een eindtotaal het eindtotaal,</w:t>
            </w:r>
          </w:p>
          <w:p w14:paraId="4F5A3FB6" w14:textId="77777777" w:rsidR="004027D0" w:rsidRDefault="00000000">
            <w:pPr>
              <w:pStyle w:val="Inhoudtabel"/>
              <w:numPr>
                <w:ilvl w:val="0"/>
                <w:numId w:val="16"/>
              </w:numPr>
            </w:pPr>
            <w:r>
              <w:t>anders wat er is doorgegeven aan het volgende jaar, waarbij, indien dat niet kon doordat het totaal te klein was, dit wordt vermeld.</w:t>
            </w:r>
          </w:p>
        </w:tc>
      </w:tr>
      <w:tr w:rsidR="004027D0" w14:paraId="613CE36A" w14:textId="77777777">
        <w:tc>
          <w:tcPr>
            <w:tcW w:w="969" w:type="dxa"/>
            <w:tcBorders>
              <w:left w:val="single" w:sz="4" w:space="0" w:color="000000"/>
              <w:bottom w:val="single" w:sz="4" w:space="0" w:color="000000"/>
            </w:tcBorders>
          </w:tcPr>
          <w:p w14:paraId="5DFF3431" w14:textId="77777777" w:rsidR="004027D0" w:rsidRDefault="00000000">
            <w:pPr>
              <w:pStyle w:val="Inhoudtabel"/>
            </w:pPr>
            <w:r>
              <w:lastRenderedPageBreak/>
              <w:t>Stap 5</w:t>
            </w:r>
          </w:p>
        </w:tc>
        <w:tc>
          <w:tcPr>
            <w:tcW w:w="8385" w:type="dxa"/>
            <w:tcBorders>
              <w:left w:val="single" w:sz="4" w:space="0" w:color="000000"/>
              <w:bottom w:val="single" w:sz="4" w:space="0" w:color="000000"/>
              <w:right w:val="single" w:sz="4" w:space="0" w:color="000000"/>
            </w:tcBorders>
          </w:tcPr>
          <w:p w14:paraId="228213FE" w14:textId="77777777" w:rsidR="004027D0" w:rsidRDefault="00000000">
            <w:pPr>
              <w:pStyle w:val="Inhoudtabel"/>
            </w:pPr>
            <w:r>
              <w:t>Als de uitleg is samengesteld, bepaal dan ook aan de hand van de berekende waarden de dashboard getallen voor homeopathie, medisch en totaal.</w:t>
            </w:r>
          </w:p>
          <w:p w14:paraId="7345C918" w14:textId="77777777" w:rsidR="004027D0" w:rsidRDefault="004027D0">
            <w:pPr>
              <w:pStyle w:val="Inhoudtabel"/>
            </w:pPr>
          </w:p>
          <w:p w14:paraId="5740850B" w14:textId="77777777" w:rsidR="004027D0" w:rsidRDefault="00000000">
            <w:pPr>
              <w:pStyle w:val="Inhoudtabel"/>
            </w:pPr>
            <w:r>
              <w:t>Zorg dat tot en met 2018 alleen homeopathie wordt vermeld in de rapporten (wis de rest).</w:t>
            </w:r>
          </w:p>
        </w:tc>
      </w:tr>
      <w:tr w:rsidR="004027D0" w14:paraId="19D43225" w14:textId="77777777">
        <w:tc>
          <w:tcPr>
            <w:tcW w:w="969" w:type="dxa"/>
            <w:tcBorders>
              <w:left w:val="single" w:sz="4" w:space="0" w:color="000000"/>
              <w:bottom w:val="single" w:sz="4" w:space="0" w:color="000000"/>
            </w:tcBorders>
          </w:tcPr>
          <w:p w14:paraId="77ED5357" w14:textId="77777777" w:rsidR="004027D0" w:rsidRDefault="00000000">
            <w:pPr>
              <w:pStyle w:val="Inhoudtabel"/>
            </w:pPr>
            <w:r>
              <w:t>Stap 6</w:t>
            </w:r>
          </w:p>
        </w:tc>
        <w:tc>
          <w:tcPr>
            <w:tcW w:w="8385" w:type="dxa"/>
            <w:tcBorders>
              <w:left w:val="single" w:sz="4" w:space="0" w:color="000000"/>
              <w:bottom w:val="single" w:sz="4" w:space="0" w:color="000000"/>
              <w:right w:val="single" w:sz="4" w:space="0" w:color="000000"/>
            </w:tcBorders>
          </w:tcPr>
          <w:p w14:paraId="66A317C8" w14:textId="77777777" w:rsidR="004027D0" w:rsidRDefault="00000000">
            <w:pPr>
              <w:pStyle w:val="Inhoudtabel"/>
            </w:pPr>
            <w:r>
              <w:t>Sla alles op in de database. De rapporten zijn nu inzichtelijk in het ledenportaal.</w:t>
            </w:r>
          </w:p>
        </w:tc>
      </w:tr>
    </w:tbl>
    <w:p w14:paraId="7C946AC9" w14:textId="77777777" w:rsidR="004027D0" w:rsidRDefault="004027D0"/>
    <w:p w14:paraId="64D1ADCF" w14:textId="77777777" w:rsidR="004027D0" w:rsidRDefault="004027D0"/>
    <w:p w14:paraId="5B05C3BA" w14:textId="77777777" w:rsidR="004027D0" w:rsidRDefault="004027D0"/>
    <w:p w14:paraId="07329522" w14:textId="77777777" w:rsidR="004027D0" w:rsidRDefault="004027D0"/>
    <w:p w14:paraId="3A8FF5AB" w14:textId="77777777" w:rsidR="004027D0" w:rsidRDefault="00000000">
      <w:r>
        <w:t xml:space="preserve"> </w:t>
      </w:r>
    </w:p>
    <w:p w14:paraId="3FD0836D" w14:textId="77777777" w:rsidR="004027D0" w:rsidRDefault="004027D0"/>
    <w:sectPr w:rsidR="004027D0">
      <w:headerReference w:type="default" r:id="rId9"/>
      <w:pgSz w:w="11906" w:h="16838"/>
      <w:pgMar w:top="1134" w:right="850" w:bottom="1134" w:left="1701"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1D69" w14:textId="77777777" w:rsidR="006E3DAA" w:rsidRDefault="006E3DAA">
      <w:pPr>
        <w:spacing w:after="0" w:line="240" w:lineRule="auto"/>
      </w:pPr>
      <w:r>
        <w:separator/>
      </w:r>
    </w:p>
  </w:endnote>
  <w:endnote w:type="continuationSeparator" w:id="0">
    <w:p w14:paraId="21E2A3A1" w14:textId="77777777" w:rsidR="006E3DAA" w:rsidRDefault="006E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DejaVu Sans">
    <w:panose1 w:val="020B0603030804020204"/>
    <w:charset w:val="00"/>
    <w:family w:val="swiss"/>
    <w:pitch w:val="variable"/>
    <w:sig w:usb0="E7002EFF" w:usb1="D200FDFF" w:usb2="0A24602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FCEE" w14:textId="77777777" w:rsidR="006E3DAA" w:rsidRDefault="006E3DAA">
      <w:pPr>
        <w:spacing w:after="0" w:line="240" w:lineRule="auto"/>
      </w:pPr>
      <w:r>
        <w:separator/>
      </w:r>
    </w:p>
  </w:footnote>
  <w:footnote w:type="continuationSeparator" w:id="0">
    <w:p w14:paraId="4E3A5852" w14:textId="77777777" w:rsidR="006E3DAA" w:rsidRDefault="006E3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5B53" w14:textId="77777777" w:rsidR="004027D0" w:rsidRDefault="00000000">
    <w:pPr>
      <w:pStyle w:val="Koptekst"/>
    </w:pPr>
    <w:r>
      <w:t>Nascholingsberekeningen NVKH</w:t>
    </w:r>
    <w:r>
      <w:tab/>
    </w:r>
    <w:r>
      <w:tab/>
    </w:r>
    <w:r>
      <w:fldChar w:fldCharType="begin"/>
    </w:r>
    <w:r>
      <w:instrText xml:space="preserve"> PAGE </w:instrText>
    </w:r>
    <w:r>
      <w:fldChar w:fldCharType="separate"/>
    </w:r>
    <w:r>
      <w:t>11</w:t>
    </w:r>
    <w:r>
      <w:fldChar w:fldCharType="end"/>
    </w:r>
    <w:r>
      <w:t xml:space="preserve"> / </w:t>
    </w:r>
    <w:fldSimple w:instr=" NUMPAGES ">
      <w:r>
        <w:t>11</w:t>
      </w:r>
    </w:fldSimple>
  </w:p>
  <w:p w14:paraId="1BC34EE1" w14:textId="77777777" w:rsidR="004027D0" w:rsidRDefault="004027D0">
    <w:pPr>
      <w:pStyle w:val="Koptekst"/>
    </w:pPr>
  </w:p>
  <w:p w14:paraId="2EB5CB68" w14:textId="77777777" w:rsidR="004027D0" w:rsidRDefault="004027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251"/>
    <w:multiLevelType w:val="multilevel"/>
    <w:tmpl w:val="E2D246EC"/>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1" w15:restartNumberingAfterBreak="0">
    <w:nsid w:val="06907EBD"/>
    <w:multiLevelType w:val="multilevel"/>
    <w:tmpl w:val="D8F6ED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F295990"/>
    <w:multiLevelType w:val="multilevel"/>
    <w:tmpl w:val="54B410A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20907D3"/>
    <w:multiLevelType w:val="multilevel"/>
    <w:tmpl w:val="99E8CA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7D86F39"/>
    <w:multiLevelType w:val="multilevel"/>
    <w:tmpl w:val="78C23A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7093CC3"/>
    <w:multiLevelType w:val="multilevel"/>
    <w:tmpl w:val="709205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CBD0857"/>
    <w:multiLevelType w:val="multilevel"/>
    <w:tmpl w:val="B470B39C"/>
    <w:lvl w:ilvl="0">
      <w:start w:val="1"/>
      <w:numFmt w:val="decimal"/>
      <w:pStyle w:val="Kop1"/>
      <w:lvlText w:val=" %1 "/>
      <w:lvlJc w:val="left"/>
      <w:pPr>
        <w:tabs>
          <w:tab w:val="num" w:pos="0"/>
        </w:tabs>
        <w:ind w:left="0" w:firstLine="0"/>
      </w:pPr>
    </w:lvl>
    <w:lvl w:ilvl="1">
      <w:start w:val="1"/>
      <w:numFmt w:val="decimal"/>
      <w:pStyle w:val="Kop2"/>
      <w:lvlText w:val=" %1.%2 "/>
      <w:lvlJc w:val="left"/>
      <w:pPr>
        <w:tabs>
          <w:tab w:val="num" w:pos="0"/>
        </w:tabs>
        <w:ind w:left="0" w:firstLine="0"/>
      </w:pPr>
    </w:lvl>
    <w:lvl w:ilvl="2">
      <w:start w:val="1"/>
      <w:numFmt w:val="decimal"/>
      <w:pStyle w:val="Kop3"/>
      <w:lvlText w:val=" %1.%2.%3 "/>
      <w:lvlJc w:val="left"/>
      <w:pPr>
        <w:tabs>
          <w:tab w:val="num" w:pos="0"/>
        </w:tabs>
        <w:ind w:left="0" w:firstLine="0"/>
      </w:pPr>
    </w:lvl>
    <w:lvl w:ilvl="3">
      <w:start w:val="1"/>
      <w:numFmt w:val="decimal"/>
      <w:suff w:val="nothing"/>
      <w:lvlText w:val=" %1.%2.%3.%4 "/>
      <w:lvlJc w:val="left"/>
      <w:pPr>
        <w:tabs>
          <w:tab w:val="num" w:pos="0"/>
        </w:tabs>
        <w:ind w:left="0" w:firstLine="0"/>
      </w:pPr>
    </w:lvl>
    <w:lvl w:ilvl="4">
      <w:start w:val="1"/>
      <w:numFmt w:val="decimal"/>
      <w:suff w:val="nothing"/>
      <w:lvlText w:val=" %1.%2.%3.%4.%5 "/>
      <w:lvlJc w:val="left"/>
      <w:pPr>
        <w:tabs>
          <w:tab w:val="num" w:pos="0"/>
        </w:tabs>
        <w:ind w:left="0" w:firstLine="0"/>
      </w:pPr>
    </w:lvl>
    <w:lvl w:ilvl="5">
      <w:start w:val="1"/>
      <w:numFmt w:val="decimal"/>
      <w:suff w:val="nothing"/>
      <w:lvlText w:val=" %1.%2.%3.%4.%5.%6 "/>
      <w:lvlJc w:val="left"/>
      <w:pPr>
        <w:tabs>
          <w:tab w:val="num" w:pos="0"/>
        </w:tabs>
        <w:ind w:left="0" w:firstLine="0"/>
      </w:pPr>
    </w:lvl>
    <w:lvl w:ilvl="6">
      <w:start w:val="1"/>
      <w:numFmt w:val="decimal"/>
      <w:suff w:val="nothing"/>
      <w:lvlText w:val=" %1.%2.%3.%4.%5.%6.%7 "/>
      <w:lvlJc w:val="left"/>
      <w:pPr>
        <w:tabs>
          <w:tab w:val="num" w:pos="0"/>
        </w:tabs>
        <w:ind w:left="0" w:firstLine="0"/>
      </w:pPr>
    </w:lvl>
    <w:lvl w:ilvl="7">
      <w:start w:val="1"/>
      <w:numFmt w:val="decimal"/>
      <w:suff w:val="nothing"/>
      <w:lvlText w:val=" %1.%2.%3.%4.%5.%6.%7.%8 "/>
      <w:lvlJc w:val="left"/>
      <w:pPr>
        <w:tabs>
          <w:tab w:val="num" w:pos="0"/>
        </w:tabs>
        <w:ind w:left="0" w:firstLine="0"/>
      </w:pPr>
    </w:lvl>
    <w:lvl w:ilvl="8">
      <w:start w:val="1"/>
      <w:numFmt w:val="decimal"/>
      <w:suff w:val="nothing"/>
      <w:lvlText w:val=" %1.%2.%3.%4.%5.%6.%7.%8.%9 "/>
      <w:lvlJc w:val="left"/>
      <w:pPr>
        <w:tabs>
          <w:tab w:val="num" w:pos="0"/>
        </w:tabs>
        <w:ind w:left="0" w:firstLine="0"/>
      </w:pPr>
    </w:lvl>
  </w:abstractNum>
  <w:abstractNum w:abstractNumId="7" w15:restartNumberingAfterBreak="0">
    <w:nsid w:val="38FE3944"/>
    <w:multiLevelType w:val="multilevel"/>
    <w:tmpl w:val="3C1A2C9E"/>
    <w:lvl w:ilvl="0">
      <w:start w:val="1"/>
      <w:numFmt w:val="decimal"/>
      <w:lvlText w:val=" %1 "/>
      <w:lvlJc w:val="left"/>
      <w:pPr>
        <w:tabs>
          <w:tab w:val="num" w:pos="0"/>
        </w:tabs>
        <w:ind w:left="709" w:hanging="360"/>
      </w:pPr>
    </w:lvl>
    <w:lvl w:ilvl="1">
      <w:start w:val="1"/>
      <w:numFmt w:val="decimal"/>
      <w:lvlText w:val=" %1.%2 "/>
      <w:lvlJc w:val="left"/>
      <w:pPr>
        <w:tabs>
          <w:tab w:val="num" w:pos="0"/>
        </w:tabs>
        <w:ind w:left="1429" w:hanging="360"/>
      </w:pPr>
    </w:lvl>
    <w:lvl w:ilvl="2">
      <w:start w:val="1"/>
      <w:numFmt w:val="decimal"/>
      <w:lvlText w:val=" %1.%2.%3 "/>
      <w:lvlJc w:val="right"/>
      <w:pPr>
        <w:tabs>
          <w:tab w:val="num" w:pos="0"/>
        </w:tabs>
        <w:ind w:left="2149" w:hanging="180"/>
      </w:pPr>
    </w:lvl>
    <w:lvl w:ilvl="3">
      <w:start w:val="1"/>
      <w:numFmt w:val="decimal"/>
      <w:lvlText w:val=" %1.%2.%3.%4 "/>
      <w:lvlJc w:val="left"/>
      <w:pPr>
        <w:tabs>
          <w:tab w:val="num" w:pos="0"/>
        </w:tabs>
        <w:ind w:left="2869" w:hanging="360"/>
      </w:pPr>
    </w:lvl>
    <w:lvl w:ilvl="4">
      <w:start w:val="1"/>
      <w:numFmt w:val="decimal"/>
      <w:lvlText w:val=" %1.%2.%3.%4.%5 "/>
      <w:lvlJc w:val="left"/>
      <w:pPr>
        <w:tabs>
          <w:tab w:val="num" w:pos="0"/>
        </w:tabs>
        <w:ind w:left="3589" w:hanging="360"/>
      </w:pPr>
    </w:lvl>
    <w:lvl w:ilvl="5">
      <w:start w:val="1"/>
      <w:numFmt w:val="decimal"/>
      <w:lvlText w:val=" %1.%2.%3.%4.%5.%6 "/>
      <w:lvlJc w:val="right"/>
      <w:pPr>
        <w:tabs>
          <w:tab w:val="num" w:pos="0"/>
        </w:tabs>
        <w:ind w:left="4309" w:hanging="180"/>
      </w:pPr>
    </w:lvl>
    <w:lvl w:ilvl="6">
      <w:start w:val="1"/>
      <w:numFmt w:val="decimal"/>
      <w:lvlText w:val=" %1.%2.%3.%4.%5.%6.%7 "/>
      <w:lvlJc w:val="left"/>
      <w:pPr>
        <w:tabs>
          <w:tab w:val="num" w:pos="0"/>
        </w:tabs>
        <w:ind w:left="5029" w:hanging="360"/>
      </w:pPr>
    </w:lvl>
    <w:lvl w:ilvl="7">
      <w:start w:val="1"/>
      <w:numFmt w:val="decimal"/>
      <w:lvlText w:val=" %1.%2.%3.%4.%5.%6.%7.%8 "/>
      <w:lvlJc w:val="left"/>
      <w:pPr>
        <w:tabs>
          <w:tab w:val="num" w:pos="0"/>
        </w:tabs>
        <w:ind w:left="5749" w:hanging="360"/>
      </w:pPr>
    </w:lvl>
    <w:lvl w:ilvl="8">
      <w:start w:val="1"/>
      <w:numFmt w:val="decimal"/>
      <w:lvlText w:val=" %1.%2.%3.%4.%5.%6.%7.%8.%9 "/>
      <w:lvlJc w:val="right"/>
      <w:pPr>
        <w:tabs>
          <w:tab w:val="num" w:pos="0"/>
        </w:tabs>
        <w:ind w:left="6469" w:hanging="180"/>
      </w:pPr>
    </w:lvl>
  </w:abstractNum>
  <w:abstractNum w:abstractNumId="8" w15:restartNumberingAfterBreak="0">
    <w:nsid w:val="3B600038"/>
    <w:multiLevelType w:val="multilevel"/>
    <w:tmpl w:val="312A9E0A"/>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134D0B"/>
    <w:multiLevelType w:val="multilevel"/>
    <w:tmpl w:val="B36E1F74"/>
    <w:lvl w:ilvl="0">
      <w:start w:val="1"/>
      <w:numFmt w:val="decimal"/>
      <w:lvlText w:val="%1."/>
      <w:lvlJc w:val="left"/>
      <w:pPr>
        <w:tabs>
          <w:tab w:val="num" w:pos="0"/>
        </w:tabs>
        <w:ind w:left="709" w:hanging="360"/>
      </w:pPr>
    </w:lvl>
    <w:lvl w:ilvl="1">
      <w:start w:val="1"/>
      <w:numFmt w:val="lowerLetter"/>
      <w:lvlText w:val="%2."/>
      <w:lvlJc w:val="left"/>
      <w:pPr>
        <w:tabs>
          <w:tab w:val="num" w:pos="0"/>
        </w:tabs>
        <w:ind w:left="1429" w:hanging="360"/>
      </w:pPr>
    </w:lvl>
    <w:lvl w:ilvl="2">
      <w:start w:val="1"/>
      <w:numFmt w:val="lowerRoman"/>
      <w:lvlText w:val="%3."/>
      <w:lvlJc w:val="right"/>
      <w:pPr>
        <w:tabs>
          <w:tab w:val="num" w:pos="0"/>
        </w:tabs>
        <w:ind w:left="2149" w:hanging="180"/>
      </w:pPr>
    </w:lvl>
    <w:lvl w:ilvl="3">
      <w:start w:val="1"/>
      <w:numFmt w:val="decimal"/>
      <w:lvlText w:val="%4."/>
      <w:lvlJc w:val="left"/>
      <w:pPr>
        <w:tabs>
          <w:tab w:val="num" w:pos="0"/>
        </w:tabs>
        <w:ind w:left="2869" w:hanging="360"/>
      </w:pPr>
    </w:lvl>
    <w:lvl w:ilvl="4">
      <w:start w:val="1"/>
      <w:numFmt w:val="lowerLetter"/>
      <w:lvlText w:val="%5."/>
      <w:lvlJc w:val="left"/>
      <w:pPr>
        <w:tabs>
          <w:tab w:val="num" w:pos="0"/>
        </w:tabs>
        <w:ind w:left="3589" w:hanging="360"/>
      </w:pPr>
    </w:lvl>
    <w:lvl w:ilvl="5">
      <w:start w:val="1"/>
      <w:numFmt w:val="lowerRoman"/>
      <w:lvlText w:val="%6."/>
      <w:lvlJc w:val="right"/>
      <w:pPr>
        <w:tabs>
          <w:tab w:val="num" w:pos="0"/>
        </w:tabs>
        <w:ind w:left="4309" w:hanging="180"/>
      </w:pPr>
    </w:lvl>
    <w:lvl w:ilvl="6">
      <w:start w:val="1"/>
      <w:numFmt w:val="decimal"/>
      <w:lvlText w:val="%7."/>
      <w:lvlJc w:val="left"/>
      <w:pPr>
        <w:tabs>
          <w:tab w:val="num" w:pos="0"/>
        </w:tabs>
        <w:ind w:left="5029" w:hanging="360"/>
      </w:pPr>
    </w:lvl>
    <w:lvl w:ilvl="7">
      <w:start w:val="1"/>
      <w:numFmt w:val="lowerLetter"/>
      <w:lvlText w:val="%8."/>
      <w:lvlJc w:val="left"/>
      <w:pPr>
        <w:tabs>
          <w:tab w:val="num" w:pos="0"/>
        </w:tabs>
        <w:ind w:left="5749" w:hanging="360"/>
      </w:pPr>
    </w:lvl>
    <w:lvl w:ilvl="8">
      <w:start w:val="1"/>
      <w:numFmt w:val="lowerRoman"/>
      <w:lvlText w:val="%9."/>
      <w:lvlJc w:val="right"/>
      <w:pPr>
        <w:tabs>
          <w:tab w:val="num" w:pos="0"/>
        </w:tabs>
        <w:ind w:left="6469" w:hanging="180"/>
      </w:pPr>
    </w:lvl>
  </w:abstractNum>
  <w:abstractNum w:abstractNumId="10" w15:restartNumberingAfterBreak="0">
    <w:nsid w:val="5AFB1B92"/>
    <w:multiLevelType w:val="multilevel"/>
    <w:tmpl w:val="EA4268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5E994E81"/>
    <w:multiLevelType w:val="multilevel"/>
    <w:tmpl w:val="D690FE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60C35D3D"/>
    <w:multiLevelType w:val="multilevel"/>
    <w:tmpl w:val="53C4E7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F501B4C"/>
    <w:multiLevelType w:val="multilevel"/>
    <w:tmpl w:val="CFAA58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76666EFD"/>
    <w:multiLevelType w:val="multilevel"/>
    <w:tmpl w:val="56F8CD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79337A15"/>
    <w:multiLevelType w:val="multilevel"/>
    <w:tmpl w:val="785280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7CFE7213"/>
    <w:multiLevelType w:val="multilevel"/>
    <w:tmpl w:val="3E06F5FC"/>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24064214">
    <w:abstractNumId w:val="6"/>
  </w:num>
  <w:num w:numId="2" w16cid:durableId="880433195">
    <w:abstractNumId w:val="7"/>
  </w:num>
  <w:num w:numId="3" w16cid:durableId="1239246889">
    <w:abstractNumId w:val="0"/>
  </w:num>
  <w:num w:numId="4" w16cid:durableId="1081606907">
    <w:abstractNumId w:val="16"/>
  </w:num>
  <w:num w:numId="5" w16cid:durableId="1891379345">
    <w:abstractNumId w:val="8"/>
  </w:num>
  <w:num w:numId="6" w16cid:durableId="1477989014">
    <w:abstractNumId w:val="15"/>
  </w:num>
  <w:num w:numId="7" w16cid:durableId="865096499">
    <w:abstractNumId w:val="1"/>
  </w:num>
  <w:num w:numId="8" w16cid:durableId="1947035145">
    <w:abstractNumId w:val="4"/>
  </w:num>
  <w:num w:numId="9" w16cid:durableId="921135059">
    <w:abstractNumId w:val="3"/>
  </w:num>
  <w:num w:numId="10" w16cid:durableId="833453392">
    <w:abstractNumId w:val="12"/>
  </w:num>
  <w:num w:numId="11" w16cid:durableId="284579482">
    <w:abstractNumId w:val="13"/>
  </w:num>
  <w:num w:numId="12" w16cid:durableId="1002244419">
    <w:abstractNumId w:val="9"/>
  </w:num>
  <w:num w:numId="13" w16cid:durableId="2073962601">
    <w:abstractNumId w:val="5"/>
  </w:num>
  <w:num w:numId="14" w16cid:durableId="1137606472">
    <w:abstractNumId w:val="10"/>
  </w:num>
  <w:num w:numId="15" w16cid:durableId="1136684316">
    <w:abstractNumId w:val="14"/>
  </w:num>
  <w:num w:numId="16" w16cid:durableId="878476345">
    <w:abstractNumId w:val="11"/>
  </w:num>
  <w:num w:numId="17" w16cid:durableId="733503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7D0"/>
    <w:rsid w:val="00025FB3"/>
    <w:rsid w:val="000E7CA7"/>
    <w:rsid w:val="00363785"/>
    <w:rsid w:val="004027D0"/>
    <w:rsid w:val="00584F72"/>
    <w:rsid w:val="006E3DAA"/>
    <w:rsid w:val="0076524F"/>
    <w:rsid w:val="008F5534"/>
    <w:rsid w:val="00C044BB"/>
    <w:rsid w:val="00D07552"/>
    <w:rsid w:val="00F3798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23EC"/>
  <w15:docId w15:val="{78C5BAF7-37FE-42B0-8D8F-9A93DE4A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0"/>
    </w:rPr>
  </w:style>
  <w:style w:type="paragraph" w:styleId="Kop1">
    <w:name w:val="heading 1"/>
    <w:basedOn w:val="Standaard"/>
    <w:next w:val="Standaard"/>
    <w:uiPriority w:val="9"/>
    <w:qFormat/>
    <w:pPr>
      <w:keepNext/>
      <w:keepLines/>
      <w:numPr>
        <w:numId w:val="1"/>
      </w:numPr>
      <w:spacing w:before="240"/>
      <w:outlineLvl w:val="0"/>
    </w:pPr>
    <w:rPr>
      <w:rFonts w:ascii="Arial" w:eastAsia="Arial" w:hAnsi="Arial" w:cs="Arial"/>
      <w:sz w:val="32"/>
      <w:szCs w:val="32"/>
    </w:rPr>
  </w:style>
  <w:style w:type="paragraph" w:styleId="Kop2">
    <w:name w:val="heading 2"/>
    <w:basedOn w:val="Standaard"/>
    <w:next w:val="Standaard"/>
    <w:uiPriority w:val="9"/>
    <w:unhideWhenUsed/>
    <w:qFormat/>
    <w:pPr>
      <w:keepNext/>
      <w:keepLines/>
      <w:numPr>
        <w:ilvl w:val="1"/>
        <w:numId w:val="1"/>
      </w:numPr>
      <w:spacing w:before="113" w:after="113"/>
      <w:outlineLvl w:val="1"/>
    </w:pPr>
    <w:rPr>
      <w:rFonts w:ascii="Arial" w:eastAsia="Arial" w:hAnsi="Arial" w:cs="Arial"/>
      <w:sz w:val="28"/>
      <w:szCs w:val="24"/>
    </w:rPr>
  </w:style>
  <w:style w:type="paragraph" w:styleId="Kop3">
    <w:name w:val="heading 3"/>
    <w:basedOn w:val="Standaard"/>
    <w:uiPriority w:val="9"/>
    <w:unhideWhenUsed/>
    <w:qFormat/>
    <w:pPr>
      <w:keepNext/>
      <w:keepLines/>
      <w:numPr>
        <w:ilvl w:val="2"/>
        <w:numId w:val="1"/>
      </w:numPr>
      <w:spacing w:before="320"/>
      <w:outlineLvl w:val="2"/>
    </w:pPr>
    <w:rPr>
      <w:rFonts w:ascii="Arial" w:eastAsia="Arial" w:hAnsi="Arial" w:cs="Arial"/>
      <w:b/>
      <w:bCs/>
      <w:i/>
      <w:iCs/>
      <w:sz w:val="24"/>
      <w:szCs w:val="24"/>
    </w:rPr>
  </w:style>
  <w:style w:type="paragraph" w:styleId="Kop4">
    <w:name w:val="heading 4"/>
    <w:basedOn w:val="Standaard"/>
    <w:uiPriority w:val="9"/>
    <w:unhideWhenUsed/>
    <w:qFormat/>
    <w:pPr>
      <w:keepNext/>
      <w:keepLines/>
      <w:spacing w:before="320"/>
      <w:outlineLvl w:val="3"/>
    </w:pPr>
    <w:rPr>
      <w:rFonts w:ascii="Arial" w:eastAsia="Arial" w:hAnsi="Arial" w:cs="Arial"/>
      <w:b/>
      <w:bCs/>
      <w:sz w:val="26"/>
      <w:szCs w:val="26"/>
    </w:rPr>
  </w:style>
  <w:style w:type="paragraph" w:styleId="Kop5">
    <w:name w:val="heading 5"/>
    <w:basedOn w:val="Standaard"/>
    <w:uiPriority w:val="9"/>
    <w:unhideWhenUsed/>
    <w:qFormat/>
    <w:pPr>
      <w:keepNext/>
      <w:keepLines/>
      <w:spacing w:before="320"/>
      <w:outlineLvl w:val="4"/>
    </w:pPr>
    <w:rPr>
      <w:rFonts w:ascii="Arial" w:eastAsia="Arial" w:hAnsi="Arial" w:cs="Arial"/>
      <w:b/>
      <w:bCs/>
      <w:sz w:val="24"/>
      <w:szCs w:val="24"/>
    </w:rPr>
  </w:style>
  <w:style w:type="paragraph" w:styleId="Kop6">
    <w:name w:val="heading 6"/>
    <w:basedOn w:val="Standaard"/>
    <w:uiPriority w:val="9"/>
    <w:unhideWhenUsed/>
    <w:qFormat/>
    <w:pPr>
      <w:keepNext/>
      <w:keepLines/>
      <w:spacing w:before="320"/>
      <w:outlineLvl w:val="5"/>
    </w:pPr>
    <w:rPr>
      <w:rFonts w:ascii="Arial" w:eastAsia="Arial" w:hAnsi="Arial" w:cs="Arial"/>
      <w:b/>
      <w:bCs/>
      <w:sz w:val="22"/>
    </w:rPr>
  </w:style>
  <w:style w:type="paragraph" w:styleId="Kop7">
    <w:name w:val="heading 7"/>
    <w:basedOn w:val="Standaard"/>
    <w:uiPriority w:val="9"/>
    <w:unhideWhenUsed/>
    <w:qFormat/>
    <w:pPr>
      <w:keepNext/>
      <w:keepLines/>
      <w:spacing w:before="320"/>
      <w:outlineLvl w:val="6"/>
    </w:pPr>
    <w:rPr>
      <w:rFonts w:ascii="Arial" w:eastAsia="Arial" w:hAnsi="Arial" w:cs="Arial"/>
      <w:b/>
      <w:bCs/>
      <w:i/>
      <w:iCs/>
      <w:sz w:val="22"/>
    </w:rPr>
  </w:style>
  <w:style w:type="paragraph" w:styleId="Kop8">
    <w:name w:val="heading 8"/>
    <w:basedOn w:val="Standaard"/>
    <w:uiPriority w:val="9"/>
    <w:unhideWhenUsed/>
    <w:qFormat/>
    <w:pPr>
      <w:keepNext/>
      <w:keepLines/>
      <w:spacing w:before="320"/>
      <w:outlineLvl w:val="7"/>
    </w:pPr>
    <w:rPr>
      <w:rFonts w:ascii="Arial" w:eastAsia="Arial" w:hAnsi="Arial" w:cs="Arial"/>
      <w:i/>
      <w:iCs/>
      <w:sz w:val="22"/>
    </w:rPr>
  </w:style>
  <w:style w:type="paragraph" w:styleId="Kop9">
    <w:name w:val="heading 9"/>
    <w:basedOn w:val="Standaard"/>
    <w:uiPriority w:val="9"/>
    <w:unhideWhenUsed/>
    <w:qFormat/>
    <w:pPr>
      <w:keepNext/>
      <w:keepLines/>
      <w:spacing w:before="320"/>
      <w:outlineLvl w:val="8"/>
    </w:pPr>
    <w:rPr>
      <w:rFonts w:ascii="Arial" w:eastAsia="Arial" w:hAnsi="Arial" w:cs="Arial"/>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uiPriority w:val="9"/>
    <w:qFormat/>
  </w:style>
  <w:style w:type="character" w:customStyle="1" w:styleId="Heading2Char">
    <w:name w:val="Heading 2 Char"/>
    <w:uiPriority w:val="9"/>
    <w:qFormat/>
    <w:rPr>
      <w:sz w:val="24"/>
      <w:szCs w:val="2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styleId="Hyperlink">
    <w:name w:val="Hyperlink"/>
    <w:uiPriority w:val="99"/>
    <w:unhideWhenUsed/>
    <w:rPr>
      <w:color w:val="0563C1" w:themeColor="hyperlink"/>
      <w:u w:val="single"/>
    </w:rPr>
  </w:style>
  <w:style w:type="character" w:customStyle="1" w:styleId="FootnoteTextChar">
    <w:name w:val="Footnote Text Char"/>
    <w:uiPriority w:val="99"/>
    <w:qFormat/>
    <w:rPr>
      <w:sz w:val="18"/>
    </w:rPr>
  </w:style>
  <w:style w:type="character" w:customStyle="1" w:styleId="Voetnoottekens">
    <w:name w:val="Voetnoottekens"/>
    <w:uiPriority w:val="99"/>
    <w:unhideWhenUsed/>
    <w:qFormat/>
    <w:rPr>
      <w:vertAlign w:val="superscript"/>
    </w:rPr>
  </w:style>
  <w:style w:type="character" w:styleId="Voetnootmarkering">
    <w:name w:val="footnote reference"/>
    <w:rPr>
      <w:vertAlign w:val="superscript"/>
    </w:rPr>
  </w:style>
  <w:style w:type="character" w:customStyle="1" w:styleId="EndnoteTextChar">
    <w:name w:val="Endnote Text Char"/>
    <w:uiPriority w:val="99"/>
    <w:qFormat/>
    <w:rPr>
      <w:sz w:val="20"/>
    </w:rPr>
  </w:style>
  <w:style w:type="character" w:customStyle="1" w:styleId="Eindnoottekens">
    <w:name w:val="Eindnoottekens"/>
    <w:uiPriority w:val="99"/>
    <w:semiHidden/>
    <w:unhideWhenUsed/>
    <w:qFormat/>
    <w:rPr>
      <w:vertAlign w:val="superscript"/>
    </w:rPr>
  </w:style>
  <w:style w:type="character" w:styleId="Eindnootmarkering">
    <w:name w:val="endnote reference"/>
    <w:rPr>
      <w:vertAlign w:val="superscript"/>
    </w:rPr>
  </w:style>
  <w:style w:type="character" w:customStyle="1" w:styleId="Opsommingstekens">
    <w:name w:val="Opsommingstekens"/>
    <w:qFormat/>
    <w:rPr>
      <w:rFonts w:ascii="OpenSymbol" w:eastAsia="OpenSymbol" w:hAnsi="OpenSymbol" w:cs="OpenSymbol"/>
    </w:rPr>
  </w:style>
  <w:style w:type="character" w:customStyle="1" w:styleId="Indexkoppeling">
    <w:name w:val="Indexkoppeling"/>
    <w:qFormat/>
  </w:style>
  <w:style w:type="character" w:customStyle="1" w:styleId="Nummeringssymbolen">
    <w:name w:val="Nummeringssymbolen"/>
    <w:qFormat/>
  </w:style>
  <w:style w:type="character" w:styleId="Regelnummer">
    <w:name w:val="line number"/>
  </w:style>
  <w:style w:type="paragraph" w:customStyle="1" w:styleId="Kop">
    <w:name w:val="Kop"/>
    <w:basedOn w:val="Standaard"/>
    <w:next w:val="Plattetekst"/>
    <w:qFormat/>
    <w:pPr>
      <w:keepNext/>
      <w:spacing w:before="240" w:after="120"/>
    </w:pPr>
    <w:rPr>
      <w:rFonts w:ascii="Liberation Sans" w:eastAsia="Noto Sans CJK SC" w:hAnsi="Liberation Sans" w:cs="FreeSans"/>
      <w:sz w:val="28"/>
      <w:szCs w:val="28"/>
    </w:rPr>
  </w:style>
  <w:style w:type="paragraph" w:styleId="Plattetekst">
    <w:name w:val="Body Text"/>
    <w:basedOn w:val="Standaard"/>
    <w:pPr>
      <w:spacing w:after="140"/>
    </w:pPr>
  </w:style>
  <w:style w:type="paragraph" w:styleId="Lijst">
    <w:name w:val="List"/>
    <w:basedOn w:val="Plattetekst"/>
    <w:rPr>
      <w:rFonts w:cs="FreeSans"/>
    </w:rPr>
  </w:style>
  <w:style w:type="paragraph" w:styleId="Bijschrift">
    <w:name w:val="caption"/>
    <w:basedOn w:val="Standaard"/>
    <w:uiPriority w:val="35"/>
    <w:semiHidden/>
    <w:unhideWhenUsed/>
    <w:qFormat/>
    <w:rPr>
      <w:b/>
      <w:bCs/>
      <w:color w:val="5B9BD5" w:themeColor="accent1"/>
      <w:sz w:val="18"/>
      <w:szCs w:val="18"/>
    </w:rPr>
  </w:style>
  <w:style w:type="paragraph" w:customStyle="1" w:styleId="Index">
    <w:name w:val="Index"/>
    <w:basedOn w:val="Standaard"/>
    <w:qFormat/>
    <w:pPr>
      <w:suppressLineNumbers/>
    </w:pPr>
    <w:rPr>
      <w:rFonts w:cs="FreeSans"/>
    </w:rPr>
  </w:style>
  <w:style w:type="paragraph" w:styleId="Titel">
    <w:name w:val="Title"/>
    <w:basedOn w:val="Standaard"/>
    <w:uiPriority w:val="10"/>
    <w:qFormat/>
    <w:pPr>
      <w:spacing w:before="300"/>
      <w:contextualSpacing/>
    </w:pPr>
    <w:rPr>
      <w:sz w:val="48"/>
      <w:szCs w:val="48"/>
    </w:rPr>
  </w:style>
  <w:style w:type="paragraph" w:styleId="Ondertitel">
    <w:name w:val="Subtitle"/>
    <w:basedOn w:val="Standaard"/>
    <w:uiPriority w:val="11"/>
    <w:qFormat/>
    <w:pPr>
      <w:spacing w:before="200"/>
    </w:pPr>
    <w:rPr>
      <w:sz w:val="24"/>
      <w:szCs w:val="24"/>
    </w:rPr>
  </w:style>
  <w:style w:type="paragraph" w:styleId="Citaat">
    <w:name w:val="Quote"/>
    <w:basedOn w:val="Standaard"/>
    <w:uiPriority w:val="29"/>
    <w:qFormat/>
    <w:pPr>
      <w:ind w:left="720" w:right="720"/>
    </w:pPr>
    <w:rPr>
      <w:i/>
    </w:rPr>
  </w:style>
  <w:style w:type="paragraph" w:styleId="Duidelijkcitaat">
    <w:name w:val="Intense Quote"/>
    <w:basedOn w:val="Standaar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Kop-envoettekst">
    <w:name w:val="Kop- en voettekst"/>
    <w:basedOn w:val="Standaard"/>
    <w:qFormat/>
  </w:style>
  <w:style w:type="paragraph" w:styleId="Koptekst">
    <w:name w:val="header"/>
    <w:basedOn w:val="Standaard"/>
    <w:uiPriority w:val="99"/>
    <w:unhideWhenUsed/>
    <w:pPr>
      <w:tabs>
        <w:tab w:val="center" w:pos="7143"/>
        <w:tab w:val="right" w:pos="14287"/>
      </w:tabs>
      <w:spacing w:after="0" w:line="240" w:lineRule="auto"/>
    </w:pPr>
  </w:style>
  <w:style w:type="paragraph" w:styleId="Voettekst">
    <w:name w:val="footer"/>
    <w:basedOn w:val="Standaard"/>
    <w:uiPriority w:val="99"/>
    <w:unhideWhenUsed/>
    <w:pPr>
      <w:tabs>
        <w:tab w:val="center" w:pos="7143"/>
        <w:tab w:val="right" w:pos="14287"/>
      </w:tabs>
      <w:spacing w:after="0" w:line="240" w:lineRule="auto"/>
    </w:pPr>
  </w:style>
  <w:style w:type="paragraph" w:styleId="Voetnoottekst">
    <w:name w:val="footnote text"/>
    <w:basedOn w:val="Standaard"/>
    <w:uiPriority w:val="99"/>
    <w:semiHidden/>
    <w:unhideWhenUsed/>
    <w:pPr>
      <w:spacing w:after="40" w:line="240" w:lineRule="auto"/>
    </w:pPr>
    <w:rPr>
      <w:sz w:val="18"/>
    </w:rPr>
  </w:style>
  <w:style w:type="paragraph" w:styleId="Eindnoottekst">
    <w:name w:val="endnote text"/>
    <w:basedOn w:val="Standaard"/>
    <w:uiPriority w:val="99"/>
    <w:semiHidden/>
    <w:unhideWhenUsed/>
    <w:pPr>
      <w:spacing w:after="0" w:line="240" w:lineRule="auto"/>
    </w:pPr>
  </w:style>
  <w:style w:type="paragraph" w:styleId="Inhopg1">
    <w:name w:val="toc 1"/>
    <w:basedOn w:val="Standaard"/>
    <w:uiPriority w:val="39"/>
    <w:unhideWhenUsed/>
    <w:pPr>
      <w:spacing w:after="57"/>
    </w:pPr>
  </w:style>
  <w:style w:type="paragraph" w:styleId="Inhopg2">
    <w:name w:val="toc 2"/>
    <w:basedOn w:val="Standaard"/>
    <w:uiPriority w:val="39"/>
    <w:unhideWhenUsed/>
    <w:pPr>
      <w:spacing w:after="57"/>
      <w:ind w:left="283"/>
    </w:pPr>
  </w:style>
  <w:style w:type="paragraph" w:styleId="Inhopg3">
    <w:name w:val="toc 3"/>
    <w:basedOn w:val="Standaard"/>
    <w:uiPriority w:val="39"/>
    <w:unhideWhenUsed/>
    <w:pPr>
      <w:spacing w:after="57"/>
      <w:ind w:left="567"/>
    </w:pPr>
  </w:style>
  <w:style w:type="paragraph" w:styleId="Inhopg4">
    <w:name w:val="toc 4"/>
    <w:basedOn w:val="Standaard"/>
    <w:uiPriority w:val="39"/>
    <w:unhideWhenUsed/>
    <w:pPr>
      <w:spacing w:after="57"/>
      <w:ind w:left="850"/>
    </w:pPr>
  </w:style>
  <w:style w:type="paragraph" w:styleId="Inhopg5">
    <w:name w:val="toc 5"/>
    <w:basedOn w:val="Standaard"/>
    <w:uiPriority w:val="39"/>
    <w:unhideWhenUsed/>
    <w:pPr>
      <w:spacing w:after="57"/>
      <w:ind w:left="1134"/>
    </w:pPr>
  </w:style>
  <w:style w:type="paragraph" w:styleId="Inhopg6">
    <w:name w:val="toc 6"/>
    <w:basedOn w:val="Standaard"/>
    <w:uiPriority w:val="39"/>
    <w:unhideWhenUsed/>
    <w:pPr>
      <w:spacing w:after="57"/>
      <w:ind w:left="1417"/>
    </w:pPr>
  </w:style>
  <w:style w:type="paragraph" w:styleId="Inhopg7">
    <w:name w:val="toc 7"/>
    <w:basedOn w:val="Standaard"/>
    <w:uiPriority w:val="39"/>
    <w:unhideWhenUsed/>
    <w:pPr>
      <w:spacing w:after="57"/>
      <w:ind w:left="1701"/>
    </w:pPr>
  </w:style>
  <w:style w:type="paragraph" w:styleId="Inhopg8">
    <w:name w:val="toc 8"/>
    <w:basedOn w:val="Standaard"/>
    <w:uiPriority w:val="39"/>
    <w:unhideWhenUsed/>
    <w:pPr>
      <w:spacing w:after="57"/>
      <w:ind w:left="1984"/>
    </w:pPr>
  </w:style>
  <w:style w:type="paragraph" w:styleId="Inhopg9">
    <w:name w:val="toc 9"/>
    <w:basedOn w:val="Standaard"/>
    <w:uiPriority w:val="39"/>
    <w:unhideWhenUsed/>
    <w:pPr>
      <w:spacing w:after="57"/>
      <w:ind w:left="2268"/>
    </w:pPr>
  </w:style>
  <w:style w:type="paragraph" w:styleId="Indexkop">
    <w:name w:val="index heading"/>
    <w:basedOn w:val="Kop"/>
  </w:style>
  <w:style w:type="paragraph" w:styleId="Kopvaninhoudsopgave">
    <w:name w:val="TOC Heading"/>
    <w:uiPriority w:val="39"/>
    <w:unhideWhenUsed/>
    <w:pPr>
      <w:spacing w:after="200" w:line="276" w:lineRule="auto"/>
    </w:pPr>
  </w:style>
  <w:style w:type="paragraph" w:styleId="Lijstmetafbeeldingen">
    <w:name w:val="table of figures"/>
    <w:basedOn w:val="Standaard"/>
    <w:uiPriority w:val="99"/>
    <w:unhideWhenUsed/>
    <w:qFormat/>
    <w:pPr>
      <w:spacing w:after="0"/>
    </w:pPr>
  </w:style>
  <w:style w:type="paragraph" w:styleId="Geenafstand">
    <w:name w:val="No Spacing"/>
    <w:basedOn w:val="Standaard"/>
    <w:uiPriority w:val="1"/>
    <w:qFormat/>
    <w:pPr>
      <w:spacing w:after="0" w:line="240" w:lineRule="auto"/>
    </w:pPr>
  </w:style>
  <w:style w:type="paragraph" w:styleId="Lijstalinea">
    <w:name w:val="List Paragraph"/>
    <w:basedOn w:val="Standaard"/>
    <w:uiPriority w:val="34"/>
    <w:qFormat/>
    <w:pPr>
      <w:ind w:left="720"/>
      <w:contextualSpacing/>
    </w:pPr>
  </w:style>
  <w:style w:type="paragraph" w:customStyle="1" w:styleId="bullets">
    <w:name w:val="bullets"/>
    <w:basedOn w:val="Standaard"/>
    <w:qFormat/>
    <w:pPr>
      <w:spacing w:after="198"/>
      <w:contextualSpacing/>
    </w:pPr>
  </w:style>
  <w:style w:type="paragraph" w:customStyle="1" w:styleId="Inhoudtabel">
    <w:name w:val="Inhoud tabel"/>
    <w:basedOn w:val="Standaard"/>
    <w:qFormat/>
    <w:pPr>
      <w:widowControl w:val="0"/>
      <w:suppressLineNumbers/>
      <w:spacing w:after="0"/>
    </w:pPr>
  </w:style>
  <w:style w:type="paragraph" w:customStyle="1" w:styleId="Tabelkop">
    <w:name w:val="Tabelkop"/>
    <w:basedOn w:val="Inhoudtabel"/>
    <w:qFormat/>
    <w:pPr>
      <w:jc w:val="center"/>
    </w:pPr>
    <w:rPr>
      <w:b/>
      <w:bCs/>
    </w:rPr>
  </w:style>
  <w:style w:type="numbering" w:customStyle="1" w:styleId="Hoofdstuknummering">
    <w:name w:val="Hoofdstuknummering"/>
    <w:qFormat/>
  </w:style>
  <w:style w:type="numbering" w:customStyle="1" w:styleId="Nummering123">
    <w:name w:val="Nummering 123"/>
    <w:qFormat/>
  </w:style>
  <w:style w:type="table" w:styleId="Tabelraster">
    <w:name w:val="Table Grid"/>
    <w:basedOn w:val="Standaardtabe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ardtab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nopgemaaktetabel1">
    <w:name w:val="Plain Table 1"/>
    <w:basedOn w:val="Standaardtab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Onopgemaaktetabel2">
    <w:name w:val="Plain Table 2"/>
    <w:basedOn w:val="Standaardtabe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Onopgemaaktetabel4">
    <w:name w:val="Plain Table 4"/>
    <w:basedOn w:val="Standaardtabe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Onopgemaaktetabel5">
    <w:name w:val="Plain Table 5"/>
    <w:basedOn w:val="Standaardtabe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Rastertabel1licht">
    <w:name w:val="Grid Table 1 Light"/>
    <w:basedOn w:val="Standaardtabe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Standaardtabe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Standaardtabe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Standaardtabe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Standaardtabe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Standaardtabe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Standaardtabe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Rastertabel2">
    <w:name w:val="Grid Table 2"/>
    <w:basedOn w:val="Standaardtab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Standaardtabe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Standaardtabe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Standaardtabe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Standaardtabe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Standaardtabe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Standaardtabe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Rastertabel3">
    <w:name w:val="Grid Table 3"/>
    <w:basedOn w:val="Standaardtab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Standaardtabe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Standaardtabe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Standaardtabe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Standaardtabe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Standaardtabe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Standaardtabe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Rastertabel4">
    <w:name w:val="Grid Table 4"/>
    <w:basedOn w:val="Standaardtabe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Standaardtabe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Standaardtabe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Standaardtabe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Standaardtabe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Standaardtabe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Standaardtabe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Rastertabel5donker">
    <w:name w:val="Grid Table 5 Dark"/>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Rastertabel6kleurrijk">
    <w:name w:val="Grid Table 6 Colorful"/>
    <w:basedOn w:val="Standaardtabe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Standaardtabe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Standaardtabe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Standaardtabe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Standaardtabe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Standaardtabe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Standaardtabe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Rastertabel7kleurrijk">
    <w:name w:val="Grid Table 7 Colorful"/>
    <w:basedOn w:val="Standaardtabe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Standaardtabe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Standaardtabe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Standaardtabe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Standaardtabe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Standaardtabe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Standaardtabe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Lijsttabel1licht">
    <w:name w:val="List Table 1 Light"/>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Lijsttabel2">
    <w:name w:val="List Table 2"/>
    <w:basedOn w:val="Standaardtabe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Standaardtabe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Standaardtabe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Standaardtabe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Standaardtabe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Standaardtabe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Standaardtabe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Lijsttabel3">
    <w:name w:val="List Table 3"/>
    <w:basedOn w:val="Standaardtab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ardtabe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ardtabe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Standaardtabe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Standaardtabe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Standaardtabe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Standaardtabe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Lijsttabel4">
    <w:name w:val="List Table 4"/>
    <w:basedOn w:val="Standaardtab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Standaardtabe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Standaardtabe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Standaardtabe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Standaardtabe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Standaardtabe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Standaardtabe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Lijsttabel5donker">
    <w:name w:val="List Table 5 Dark"/>
    <w:basedOn w:val="Standaardtabe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Standaardtabe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Standaardtabe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Standaardtabe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Standaardtabe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Standaardtabe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Standaardtabe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Lijsttabel6kleurrijk">
    <w:name w:val="List Table 6 Colorful"/>
    <w:basedOn w:val="Standaardtabe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Standaardtabe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Standaardtabe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Standaardtabe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Standaardtabe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Standaardtabe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Standaardtabe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Lijsttabel7kleurrijk">
    <w:name w:val="List Table 7 Colorful"/>
    <w:basedOn w:val="Standaardtabe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Standaardtabel"/>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Standaardtabel"/>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Standaardtabel"/>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Standaardtabel"/>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Standaardtabel"/>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Standaardtabel"/>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Standaardtabel"/>
    <w:uiPriority w:val="99"/>
    <w:rPr>
      <w:color w:val="404040"/>
      <w:sz w:val="20"/>
      <w:szCs w:val="20"/>
      <w:lang w:eastAsia="nl-NL"/>
    </w:rPr>
    <w:tblPr>
      <w:tblStyleRowBandSize w:val="1"/>
      <w:tblStyleColBandSize w:val="1"/>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Standaardtabel"/>
    <w:uiPriority w:val="99"/>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Standaardtabel"/>
    <w:uiPriority w:val="99"/>
    <w:rPr>
      <w:color w:val="404040"/>
      <w:sz w:val="20"/>
      <w:szCs w:val="20"/>
      <w:lang w:eastAsia="nl-N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Standaardtabel"/>
    <w:uiPriority w:val="99"/>
    <w:rPr>
      <w:color w:val="404040"/>
      <w:sz w:val="20"/>
      <w:szCs w:val="20"/>
      <w:lang w:eastAsia="nl-NL"/>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Standaardtabel"/>
    <w:uiPriority w:val="99"/>
    <w:rPr>
      <w:color w:val="404040"/>
      <w:sz w:val="20"/>
      <w:szCs w:val="20"/>
      <w:lang w:eastAsia="nl-N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Standaardtabel"/>
    <w:uiPriority w:val="99"/>
    <w:rPr>
      <w:color w:val="404040"/>
      <w:sz w:val="20"/>
      <w:szCs w:val="20"/>
      <w:lang w:eastAsia="nl-NL"/>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Standaardtabel"/>
    <w:uiPriority w:val="99"/>
    <w:rPr>
      <w:color w:val="404040"/>
      <w:sz w:val="20"/>
      <w:szCs w:val="20"/>
      <w:lang w:eastAsia="nl-NL"/>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Standaardtabel"/>
    <w:uiPriority w:val="99"/>
    <w:rPr>
      <w:color w:val="404040"/>
      <w:sz w:val="20"/>
      <w:szCs w:val="20"/>
      <w:lang w:eastAsia="nl-NL"/>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Standaardtabe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Standaardtabe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Standaardtabe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Standaardtabe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Standaardtabe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Standaardtabe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Standaardtabe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customStyle="1" w:styleId="KleinKopje">
    <w:name w:val="KleinKopje"/>
    <w:basedOn w:val="Standaard"/>
    <w:qFormat/>
    <w:rsid w:val="00F3798A"/>
    <w:pPr>
      <w:keepNext/>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76</TotalTime>
  <Pages>11</Pages>
  <Words>3674</Words>
  <Characters>20209</Characters>
  <Application>Microsoft Office Word</Application>
  <DocSecurity>0</DocSecurity>
  <Lines>168</Lines>
  <Paragraphs>47</Paragraphs>
  <ScaleCrop>false</ScaleCrop>
  <Company/>
  <LinksUpToDate>false</LinksUpToDate>
  <CharactersWithSpaces>23836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Dijkema, Hans (RWS GPO)</cp:lastModifiedBy>
  <cp:revision>157</cp:revision>
  <dcterms:created xsi:type="dcterms:W3CDTF">2023-09-21T16:05:00Z</dcterms:created>
  <dcterms:modified xsi:type="dcterms:W3CDTF">2026-08-28T11:02:00Z</dcterms:modified>
  <dc:language>nl-NL</dc:language>
</cp:coreProperties>
</file>